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3655" w14:textId="3A9D5368" w:rsidR="00BD539D" w:rsidRDefault="00C92F12" w:rsidP="00BD539D">
      <w:pPr>
        <w:rPr>
          <w:rFonts w:cstheme="minorHAnsi"/>
          <w:b/>
          <w:color w:val="058653"/>
          <w:sz w:val="32"/>
          <w:szCs w:val="32"/>
        </w:rPr>
      </w:pPr>
      <w:r>
        <w:rPr>
          <w:rFonts w:cstheme="minorHAnsi"/>
          <w:b/>
          <w:color w:val="058653"/>
          <w:sz w:val="32"/>
          <w:szCs w:val="32"/>
        </w:rPr>
        <w:t xml:space="preserve">Article </w:t>
      </w:r>
      <w:r w:rsidR="009A5E8C">
        <w:rPr>
          <w:rFonts w:cstheme="minorHAnsi"/>
          <w:b/>
          <w:color w:val="058653"/>
          <w:sz w:val="32"/>
          <w:szCs w:val="32"/>
        </w:rPr>
        <w:t xml:space="preserve">Contributor </w:t>
      </w:r>
      <w:r w:rsidR="00290D24">
        <w:rPr>
          <w:rFonts w:cstheme="minorHAnsi"/>
          <w:b/>
          <w:color w:val="058653"/>
          <w:sz w:val="32"/>
          <w:szCs w:val="32"/>
        </w:rPr>
        <w:t>Questionnaire &amp; Materials Request</w:t>
      </w:r>
    </w:p>
    <w:p w14:paraId="65FCB638" w14:textId="2AE77E20" w:rsidR="00741892" w:rsidRPr="00BD539D" w:rsidRDefault="00741892" w:rsidP="00BD539D">
      <w:pPr>
        <w:rPr>
          <w:rFonts w:cstheme="minorHAnsi"/>
          <w:b/>
          <w:color w:val="058653"/>
          <w:sz w:val="32"/>
          <w:szCs w:val="32"/>
        </w:rPr>
      </w:pPr>
      <w:r w:rsidRPr="00B6581B">
        <w:rPr>
          <w:rFonts w:cstheme="minorHAnsi"/>
          <w:color w:val="D92F25"/>
        </w:rPr>
        <w:t>*</w:t>
      </w:r>
      <w:r w:rsidRPr="00B6581B">
        <w:rPr>
          <w:rFonts w:cstheme="minorHAnsi"/>
          <w:color w:val="D92F25"/>
          <w:spacing w:val="2"/>
        </w:rPr>
        <w:t xml:space="preserve"> </w:t>
      </w:r>
      <w:r w:rsidRPr="00B6581B">
        <w:rPr>
          <w:rFonts w:cstheme="minorHAnsi"/>
          <w:color w:val="D92F25"/>
        </w:rPr>
        <w:t>Indicates</w:t>
      </w:r>
      <w:r w:rsidRPr="00B6581B">
        <w:rPr>
          <w:rFonts w:cstheme="minorHAnsi"/>
          <w:color w:val="D92F25"/>
          <w:spacing w:val="2"/>
        </w:rPr>
        <w:t xml:space="preserve"> </w:t>
      </w:r>
      <w:r w:rsidRPr="00B6581B">
        <w:rPr>
          <w:rFonts w:cstheme="minorHAnsi"/>
          <w:color w:val="D92F25"/>
        </w:rPr>
        <w:t>required</w:t>
      </w:r>
      <w:r w:rsidRPr="00B6581B">
        <w:rPr>
          <w:rFonts w:cstheme="minorHAnsi"/>
          <w:color w:val="D92F25"/>
          <w:spacing w:val="2"/>
        </w:rPr>
        <w:t xml:space="preserve"> </w:t>
      </w:r>
      <w:r w:rsidRPr="00B6581B">
        <w:rPr>
          <w:rFonts w:cstheme="minorHAnsi"/>
          <w:color w:val="D92F25"/>
          <w:spacing w:val="-2"/>
        </w:rPr>
        <w:t>question</w:t>
      </w:r>
    </w:p>
    <w:p w14:paraId="72464631" w14:textId="31893C4E" w:rsidR="006C2AC7" w:rsidRDefault="006C2AC7" w:rsidP="008C15F7">
      <w:pPr>
        <w:rPr>
          <w:rFonts w:cstheme="minorHAnsi"/>
        </w:rPr>
      </w:pPr>
      <w:r w:rsidRPr="003E6BF9">
        <w:rPr>
          <w:rFonts w:cstheme="minorHAnsi"/>
          <w:b/>
          <w:bCs/>
        </w:rPr>
        <w:t>Step 1</w:t>
      </w:r>
      <w:r w:rsidR="00DA5717" w:rsidRPr="003E6BF9">
        <w:rPr>
          <w:rFonts w:cstheme="minorHAnsi"/>
          <w:b/>
          <w:bCs/>
        </w:rPr>
        <w:t>:</w:t>
      </w:r>
      <w:r>
        <w:rPr>
          <w:rFonts w:cstheme="minorHAnsi"/>
        </w:rPr>
        <w:t xml:space="preserve"> </w:t>
      </w:r>
      <w:r w:rsidR="00DA5717" w:rsidRPr="00DA5717">
        <w:rPr>
          <w:rFonts w:cstheme="minorHAnsi"/>
        </w:rPr>
        <w:t xml:space="preserve">Please complete the </w:t>
      </w:r>
      <w:r w:rsidR="00DA5717">
        <w:rPr>
          <w:rFonts w:cstheme="minorHAnsi"/>
        </w:rPr>
        <w:t>required</w:t>
      </w:r>
      <w:r w:rsidR="00DA5717" w:rsidRPr="00DA5717">
        <w:rPr>
          <w:rFonts w:cstheme="minorHAnsi"/>
        </w:rPr>
        <w:t xml:space="preserve"> information.</w:t>
      </w:r>
    </w:p>
    <w:tbl>
      <w:tblPr>
        <w:tblStyle w:val="TableGrid"/>
        <w:tblW w:w="0" w:type="auto"/>
        <w:tblLook w:val="04A0" w:firstRow="1" w:lastRow="0" w:firstColumn="1" w:lastColumn="0" w:noHBand="0" w:noVBand="1"/>
      </w:tblPr>
      <w:tblGrid>
        <w:gridCol w:w="9016"/>
      </w:tblGrid>
      <w:tr w:rsidR="00086BA7" w:rsidRPr="00B6581B" w14:paraId="48CCC165" w14:textId="77777777" w:rsidTr="00F324FF">
        <w:tc>
          <w:tcPr>
            <w:tcW w:w="9016" w:type="dxa"/>
            <w:shd w:val="clear" w:color="auto" w:fill="058653"/>
          </w:tcPr>
          <w:p w14:paraId="232B223A" w14:textId="4D4752A1" w:rsidR="00086BA7" w:rsidRPr="00B6581B" w:rsidRDefault="009A5E8C" w:rsidP="00F324FF">
            <w:pPr>
              <w:spacing w:after="200" w:line="276" w:lineRule="auto"/>
              <w:rPr>
                <w:rFonts w:cstheme="minorHAnsi"/>
                <w:b/>
                <w:bCs/>
              </w:rPr>
            </w:pPr>
            <w:r>
              <w:rPr>
                <w:rFonts w:cstheme="minorHAnsi"/>
                <w:b/>
                <w:bCs/>
                <w:color w:val="FFFFFF" w:themeColor="background1"/>
              </w:rPr>
              <w:t>AUTHOR</w:t>
            </w:r>
            <w:r w:rsidR="00086BA7" w:rsidRPr="00B6581B">
              <w:rPr>
                <w:rFonts w:cstheme="minorHAnsi"/>
                <w:b/>
                <w:bCs/>
                <w:color w:val="FFFFFF" w:themeColor="background1"/>
                <w:spacing w:val="11"/>
              </w:rPr>
              <w:t xml:space="preserve"> </w:t>
            </w:r>
            <w:r w:rsidR="00086BA7" w:rsidRPr="00B6581B">
              <w:rPr>
                <w:rFonts w:cstheme="minorHAnsi"/>
                <w:b/>
                <w:bCs/>
                <w:color w:val="FFFFFF" w:themeColor="background1"/>
                <w:spacing w:val="-2"/>
              </w:rPr>
              <w:t>INFORMATION</w:t>
            </w:r>
            <w:r w:rsidR="00086BA7">
              <w:rPr>
                <w:rFonts w:cstheme="minorHAnsi"/>
                <w:b/>
                <w:bCs/>
                <w:color w:val="FFFFFF" w:themeColor="background1"/>
                <w:spacing w:val="-2"/>
              </w:rPr>
              <w:t xml:space="preserve"> </w:t>
            </w:r>
            <w:r w:rsidR="00086BA7" w:rsidRPr="008C15F7">
              <w:rPr>
                <w:b/>
                <w:bCs/>
                <w:color w:val="FF0000"/>
              </w:rPr>
              <w:t>*</w:t>
            </w:r>
          </w:p>
        </w:tc>
      </w:tr>
      <w:tr w:rsidR="00086BA7" w:rsidRPr="00B6581B" w14:paraId="6C2B3CA3" w14:textId="77777777" w:rsidTr="00F324FF">
        <w:tc>
          <w:tcPr>
            <w:tcW w:w="9016" w:type="dxa"/>
          </w:tcPr>
          <w:p w14:paraId="72240D9D" w14:textId="7BEE1BC6" w:rsidR="00086BA7" w:rsidRPr="00B6581B" w:rsidRDefault="00086BA7" w:rsidP="003776D5">
            <w:pPr>
              <w:spacing w:after="200" w:line="276" w:lineRule="auto"/>
              <w:rPr>
                <w:rFonts w:cstheme="minorHAnsi"/>
                <w:i/>
                <w:color w:val="202024"/>
                <w:spacing w:val="-8"/>
              </w:rPr>
            </w:pPr>
            <w:r w:rsidRPr="008C15F7">
              <w:rPr>
                <w:b/>
                <w:bCs/>
              </w:rPr>
              <w:t>Name, Job Title, Aﬃliation, Country</w:t>
            </w:r>
            <w:r>
              <w:rPr>
                <w:b/>
                <w:bCs/>
              </w:rPr>
              <w:t xml:space="preserve"> </w:t>
            </w:r>
            <w:r w:rsidRPr="008C15F7">
              <w:rPr>
                <w:b/>
                <w:bCs/>
                <w:color w:val="FF0000"/>
              </w:rPr>
              <w:t>*</w:t>
            </w:r>
          </w:p>
        </w:tc>
      </w:tr>
      <w:tr w:rsidR="00473022" w:rsidRPr="00B6581B" w14:paraId="0B344BB8" w14:textId="77777777" w:rsidTr="00F324FF">
        <w:tc>
          <w:tcPr>
            <w:tcW w:w="9016" w:type="dxa"/>
          </w:tcPr>
          <w:p w14:paraId="0694880F" w14:textId="77777777" w:rsidR="00473022" w:rsidRDefault="00473022" w:rsidP="00470732">
            <w:pPr>
              <w:spacing w:after="200" w:line="276" w:lineRule="auto"/>
              <w:rPr>
                <w:rFonts w:cstheme="minorHAnsi"/>
                <w:b/>
                <w:bCs/>
              </w:rPr>
            </w:pPr>
          </w:p>
        </w:tc>
      </w:tr>
      <w:tr w:rsidR="00473022" w:rsidRPr="00B6581B" w14:paraId="384D9A93" w14:textId="77777777" w:rsidTr="00F324FF">
        <w:tc>
          <w:tcPr>
            <w:tcW w:w="9016" w:type="dxa"/>
          </w:tcPr>
          <w:p w14:paraId="11C11BA1" w14:textId="213D1D48" w:rsidR="00473022" w:rsidRDefault="00473022" w:rsidP="00470732">
            <w:pPr>
              <w:spacing w:after="200" w:line="276" w:lineRule="auto"/>
              <w:rPr>
                <w:rFonts w:cstheme="minorHAnsi"/>
                <w:b/>
                <w:bCs/>
              </w:rPr>
            </w:pPr>
            <w:r w:rsidRPr="00473022">
              <w:rPr>
                <w:b/>
                <w:bCs/>
              </w:rPr>
              <w:t xml:space="preserve">Public profile link (such as LinkedIn, ResearchGate, Google Scholar) </w:t>
            </w:r>
            <w:r w:rsidRPr="00473022">
              <w:rPr>
                <w:b/>
                <w:bCs/>
                <w:color w:val="FF0000"/>
              </w:rPr>
              <w:t>*</w:t>
            </w:r>
          </w:p>
        </w:tc>
      </w:tr>
      <w:tr w:rsidR="00473022" w:rsidRPr="00B6581B" w14:paraId="3EA13B9C" w14:textId="77777777" w:rsidTr="00F324FF">
        <w:tc>
          <w:tcPr>
            <w:tcW w:w="9016" w:type="dxa"/>
          </w:tcPr>
          <w:p w14:paraId="5926C004" w14:textId="77777777" w:rsidR="00473022" w:rsidRDefault="00473022" w:rsidP="00470732">
            <w:pPr>
              <w:spacing w:after="200" w:line="276" w:lineRule="auto"/>
              <w:rPr>
                <w:rFonts w:cstheme="minorHAnsi"/>
                <w:b/>
                <w:bCs/>
              </w:rPr>
            </w:pPr>
          </w:p>
        </w:tc>
      </w:tr>
      <w:tr w:rsidR="00086BA7" w:rsidRPr="00B6581B" w14:paraId="6806A3E1" w14:textId="77777777" w:rsidTr="00F324FF">
        <w:tc>
          <w:tcPr>
            <w:tcW w:w="9016" w:type="dxa"/>
          </w:tcPr>
          <w:p w14:paraId="5B7664D2" w14:textId="48CD4912" w:rsidR="00086BA7" w:rsidRPr="00B6581B" w:rsidRDefault="00532B2E" w:rsidP="00F324FF">
            <w:pPr>
              <w:spacing w:after="200" w:line="276" w:lineRule="auto"/>
              <w:rPr>
                <w:rFonts w:cstheme="minorHAnsi"/>
                <w:b/>
                <w:bCs/>
              </w:rPr>
            </w:pPr>
            <w:r>
              <w:rPr>
                <w:rFonts w:cstheme="minorHAnsi"/>
                <w:b/>
                <w:bCs/>
              </w:rPr>
              <w:t>“</w:t>
            </w:r>
            <w:r w:rsidR="00760690">
              <w:rPr>
                <w:rFonts w:cstheme="minorHAnsi"/>
                <w:b/>
                <w:bCs/>
              </w:rPr>
              <w:t>About the Author</w:t>
            </w:r>
            <w:r>
              <w:rPr>
                <w:rFonts w:cstheme="minorHAnsi"/>
                <w:b/>
                <w:bCs/>
              </w:rPr>
              <w:t>”</w:t>
            </w:r>
            <w:r w:rsidR="00760690">
              <w:rPr>
                <w:rFonts w:cstheme="minorHAnsi"/>
                <w:b/>
                <w:bCs/>
              </w:rPr>
              <w:t xml:space="preserve"> </w:t>
            </w:r>
            <w:r w:rsidR="00086BA7" w:rsidRPr="00B6581B">
              <w:rPr>
                <w:rFonts w:cstheme="minorHAnsi"/>
                <w:b/>
                <w:bCs/>
              </w:rPr>
              <w:t>Biography</w:t>
            </w:r>
            <w:r w:rsidR="00760690">
              <w:rPr>
                <w:rFonts w:cstheme="minorHAnsi"/>
                <w:b/>
                <w:bCs/>
              </w:rPr>
              <w:t xml:space="preserve"> (</w:t>
            </w:r>
            <w:r w:rsidR="009B054A">
              <w:rPr>
                <w:rFonts w:cstheme="minorHAnsi"/>
                <w:b/>
                <w:bCs/>
              </w:rPr>
              <w:t>approx</w:t>
            </w:r>
            <w:r w:rsidR="00760690">
              <w:rPr>
                <w:rFonts w:cstheme="minorHAnsi"/>
                <w:b/>
                <w:bCs/>
              </w:rPr>
              <w:t>. 1</w:t>
            </w:r>
            <w:r w:rsidR="009B054A">
              <w:rPr>
                <w:rFonts w:cstheme="minorHAnsi"/>
                <w:b/>
                <w:bCs/>
              </w:rPr>
              <w:t>0</w:t>
            </w:r>
            <w:r w:rsidR="00760690">
              <w:rPr>
                <w:rFonts w:cstheme="minorHAnsi"/>
                <w:b/>
                <w:bCs/>
              </w:rPr>
              <w:t>0 words)</w:t>
            </w:r>
            <w:r w:rsidR="00086BA7" w:rsidRPr="00B6581B">
              <w:rPr>
                <w:rFonts w:cstheme="minorHAnsi"/>
                <w:b/>
                <w:bCs/>
                <w:spacing w:val="-3"/>
              </w:rPr>
              <w:t xml:space="preserve"> </w:t>
            </w:r>
            <w:r w:rsidR="00086BA7" w:rsidRPr="00B6581B">
              <w:rPr>
                <w:rFonts w:cstheme="minorHAnsi"/>
                <w:b/>
                <w:bCs/>
                <w:color w:val="D92F25"/>
                <w:spacing w:val="-10"/>
              </w:rPr>
              <w:t>*</w:t>
            </w:r>
          </w:p>
        </w:tc>
      </w:tr>
      <w:tr w:rsidR="00086BA7" w:rsidRPr="00B6581B" w14:paraId="1711F111" w14:textId="77777777" w:rsidTr="00F324FF">
        <w:tc>
          <w:tcPr>
            <w:tcW w:w="9016" w:type="dxa"/>
          </w:tcPr>
          <w:p w14:paraId="68B98014" w14:textId="77777777" w:rsidR="00086BA7" w:rsidRDefault="00086BA7" w:rsidP="00F324FF">
            <w:pPr>
              <w:spacing w:after="200" w:line="276" w:lineRule="auto"/>
              <w:rPr>
                <w:rFonts w:cstheme="minorHAnsi"/>
                <w:color w:val="202024"/>
                <w:w w:val="90"/>
              </w:rPr>
            </w:pPr>
          </w:p>
          <w:p w14:paraId="61C9D58A" w14:textId="729F135A" w:rsidR="00470732" w:rsidRPr="00B6581B" w:rsidRDefault="00470732" w:rsidP="00F324FF">
            <w:pPr>
              <w:spacing w:after="200" w:line="276" w:lineRule="auto"/>
              <w:rPr>
                <w:rFonts w:cstheme="minorHAnsi"/>
                <w:color w:val="202024"/>
                <w:w w:val="90"/>
              </w:rPr>
            </w:pPr>
          </w:p>
        </w:tc>
      </w:tr>
    </w:tbl>
    <w:p w14:paraId="4A78D040" w14:textId="77777777" w:rsidR="006C2AC7" w:rsidRDefault="006C2AC7" w:rsidP="008C15F7">
      <w:pPr>
        <w:rPr>
          <w:rFonts w:cstheme="minorHAnsi"/>
        </w:rPr>
      </w:pPr>
    </w:p>
    <w:tbl>
      <w:tblPr>
        <w:tblStyle w:val="TableGrid"/>
        <w:tblW w:w="0" w:type="auto"/>
        <w:tblLook w:val="04A0" w:firstRow="1" w:lastRow="0" w:firstColumn="1" w:lastColumn="0" w:noHBand="0" w:noVBand="1"/>
      </w:tblPr>
      <w:tblGrid>
        <w:gridCol w:w="9016"/>
      </w:tblGrid>
      <w:tr w:rsidR="000A4664" w:rsidRPr="00B6581B" w14:paraId="03182783" w14:textId="77777777" w:rsidTr="00F324FF">
        <w:tc>
          <w:tcPr>
            <w:tcW w:w="9016" w:type="dxa"/>
            <w:shd w:val="clear" w:color="auto" w:fill="058653"/>
          </w:tcPr>
          <w:p w14:paraId="6A3EB7A5" w14:textId="6D5D3A55" w:rsidR="000A4664" w:rsidRPr="00B6581B" w:rsidRDefault="009A5E8C" w:rsidP="00F324FF">
            <w:pPr>
              <w:spacing w:after="200" w:line="276" w:lineRule="auto"/>
              <w:rPr>
                <w:rFonts w:cstheme="minorHAnsi"/>
                <w:b/>
                <w:bCs/>
                <w:color w:val="FFFFFF" w:themeColor="background1"/>
              </w:rPr>
            </w:pPr>
            <w:r>
              <w:rPr>
                <w:rFonts w:cstheme="minorHAnsi"/>
                <w:b/>
                <w:bCs/>
                <w:color w:val="FFFFFF" w:themeColor="background1"/>
              </w:rPr>
              <w:t>ARTICLE</w:t>
            </w:r>
            <w:r w:rsidR="000A4664" w:rsidRPr="00B6581B">
              <w:rPr>
                <w:rFonts w:cstheme="minorHAnsi"/>
                <w:b/>
                <w:bCs/>
                <w:color w:val="FFFFFF" w:themeColor="background1"/>
                <w:spacing w:val="27"/>
              </w:rPr>
              <w:t xml:space="preserve"> </w:t>
            </w:r>
            <w:r w:rsidR="000A4664" w:rsidRPr="00B6581B">
              <w:rPr>
                <w:rFonts w:cstheme="minorHAnsi"/>
                <w:b/>
                <w:bCs/>
                <w:color w:val="FFFFFF" w:themeColor="background1"/>
                <w:spacing w:val="-2"/>
              </w:rPr>
              <w:t>INFORMATION</w:t>
            </w:r>
            <w:r w:rsidR="000A4664">
              <w:rPr>
                <w:rFonts w:cstheme="minorHAnsi"/>
                <w:b/>
                <w:bCs/>
                <w:color w:val="FFFFFF" w:themeColor="background1"/>
                <w:spacing w:val="-2"/>
              </w:rPr>
              <w:t xml:space="preserve"> </w:t>
            </w:r>
            <w:r w:rsidR="000A4664" w:rsidRPr="00B6581B">
              <w:rPr>
                <w:rFonts w:cstheme="minorHAnsi"/>
                <w:b/>
                <w:bCs/>
                <w:color w:val="D92F25"/>
                <w:spacing w:val="-10"/>
              </w:rPr>
              <w:t>*</w:t>
            </w:r>
          </w:p>
        </w:tc>
      </w:tr>
      <w:tr w:rsidR="000A4664" w:rsidRPr="00B6581B" w14:paraId="1C9E4FD4" w14:textId="77777777" w:rsidTr="00F324FF">
        <w:tc>
          <w:tcPr>
            <w:tcW w:w="9016" w:type="dxa"/>
          </w:tcPr>
          <w:p w14:paraId="50B075A6" w14:textId="1F287AA9" w:rsidR="000A4664" w:rsidRPr="00B6581B" w:rsidRDefault="009A5E8C" w:rsidP="00F324FF">
            <w:pPr>
              <w:spacing w:after="200" w:line="276" w:lineRule="auto"/>
              <w:rPr>
                <w:rFonts w:cstheme="minorHAnsi"/>
                <w:b/>
                <w:bCs/>
              </w:rPr>
            </w:pPr>
            <w:r>
              <w:rPr>
                <w:rFonts w:cstheme="minorHAnsi"/>
                <w:b/>
                <w:bCs/>
              </w:rPr>
              <w:t>Article</w:t>
            </w:r>
            <w:r w:rsidR="000A4664" w:rsidRPr="00B6581B">
              <w:rPr>
                <w:rFonts w:cstheme="minorHAnsi"/>
                <w:b/>
                <w:bCs/>
                <w:spacing w:val="-14"/>
              </w:rPr>
              <w:t xml:space="preserve"> </w:t>
            </w:r>
            <w:r w:rsidR="000A4664" w:rsidRPr="00B6581B">
              <w:rPr>
                <w:rFonts w:cstheme="minorHAnsi"/>
                <w:b/>
                <w:bCs/>
              </w:rPr>
              <w:t xml:space="preserve">Title </w:t>
            </w:r>
            <w:r w:rsidR="000A4664" w:rsidRPr="00B6581B">
              <w:rPr>
                <w:rFonts w:cstheme="minorHAnsi"/>
                <w:b/>
                <w:bCs/>
                <w:color w:val="D92F25"/>
                <w:spacing w:val="-10"/>
              </w:rPr>
              <w:t>*</w:t>
            </w:r>
          </w:p>
        </w:tc>
      </w:tr>
      <w:tr w:rsidR="000A4664" w:rsidRPr="00B6581B" w14:paraId="60B2F00B" w14:textId="77777777" w:rsidTr="00F324FF">
        <w:tc>
          <w:tcPr>
            <w:tcW w:w="9016" w:type="dxa"/>
          </w:tcPr>
          <w:p w14:paraId="00693F6D" w14:textId="07A119AC" w:rsidR="004B2D61" w:rsidRPr="00B6581B" w:rsidRDefault="004B2D61" w:rsidP="00F324FF">
            <w:pPr>
              <w:spacing w:after="200" w:line="276" w:lineRule="auto"/>
              <w:rPr>
                <w:rFonts w:cstheme="minorHAnsi"/>
                <w:color w:val="202024"/>
                <w:w w:val="90"/>
              </w:rPr>
            </w:pPr>
          </w:p>
        </w:tc>
      </w:tr>
      <w:tr w:rsidR="000A4664" w:rsidRPr="00B6581B" w14:paraId="2AB831E4" w14:textId="77777777" w:rsidTr="00F324FF">
        <w:tc>
          <w:tcPr>
            <w:tcW w:w="9016" w:type="dxa"/>
          </w:tcPr>
          <w:p w14:paraId="305AE962" w14:textId="06790971" w:rsidR="00E630B9" w:rsidRPr="00C014CB" w:rsidRDefault="009B054A" w:rsidP="00F324FF">
            <w:pPr>
              <w:spacing w:after="200" w:line="276" w:lineRule="auto"/>
              <w:rPr>
                <w:i/>
                <w:iCs/>
                <w:sz w:val="16"/>
                <w:szCs w:val="16"/>
              </w:rPr>
            </w:pPr>
            <w:r>
              <w:rPr>
                <w:rFonts w:cstheme="minorHAnsi"/>
                <w:b/>
                <w:bCs/>
              </w:rPr>
              <w:t>Article Text (800 – 1,500 words)</w:t>
            </w:r>
            <w:r w:rsidR="00532B2E">
              <w:rPr>
                <w:rFonts w:cstheme="minorHAnsi"/>
                <w:b/>
                <w:bCs/>
              </w:rPr>
              <w:t xml:space="preserve"> </w:t>
            </w:r>
            <w:r w:rsidR="000A4664" w:rsidRPr="00B6581B">
              <w:rPr>
                <w:rFonts w:cstheme="minorHAnsi"/>
                <w:b/>
                <w:bCs/>
                <w:color w:val="D92F25"/>
                <w:spacing w:val="-10"/>
              </w:rPr>
              <w:t>*</w:t>
            </w:r>
            <w:r w:rsidR="002B130D">
              <w:rPr>
                <w:rFonts w:cstheme="minorHAnsi"/>
                <w:b/>
                <w:bCs/>
                <w:color w:val="D92F25"/>
                <w:spacing w:val="-10"/>
              </w:rPr>
              <w:br/>
            </w:r>
            <w:r w:rsidR="000A4664" w:rsidRPr="00A103DB">
              <w:rPr>
                <w:sz w:val="16"/>
                <w:szCs w:val="16"/>
                <w:u w:val="single"/>
              </w:rPr>
              <w:t>PLEASE REMEMBER</w:t>
            </w:r>
            <w:r w:rsidR="000A4664" w:rsidRPr="00A103DB">
              <w:rPr>
                <w:sz w:val="16"/>
                <w:szCs w:val="16"/>
              </w:rPr>
              <w:br/>
            </w:r>
            <w:r w:rsidR="00A71F8F">
              <w:rPr>
                <w:i/>
                <w:iCs/>
                <w:sz w:val="16"/>
                <w:szCs w:val="16"/>
              </w:rPr>
              <w:t xml:space="preserve">Paste your article text </w:t>
            </w:r>
            <w:r w:rsidR="00E630B9">
              <w:rPr>
                <w:i/>
                <w:iCs/>
                <w:sz w:val="16"/>
                <w:szCs w:val="16"/>
              </w:rPr>
              <w:t>below</w:t>
            </w:r>
            <w:r w:rsidR="00A71F8F">
              <w:rPr>
                <w:i/>
                <w:iCs/>
                <w:sz w:val="16"/>
                <w:szCs w:val="16"/>
              </w:rPr>
              <w:t xml:space="preserve"> or simply </w:t>
            </w:r>
            <w:r w:rsidR="00E630B9">
              <w:rPr>
                <w:i/>
                <w:iCs/>
                <w:sz w:val="16"/>
                <w:szCs w:val="16"/>
              </w:rPr>
              <w:t>upload</w:t>
            </w:r>
            <w:r w:rsidR="00A71F8F">
              <w:rPr>
                <w:i/>
                <w:iCs/>
                <w:sz w:val="16"/>
                <w:szCs w:val="16"/>
              </w:rPr>
              <w:t xml:space="preserve"> as a separate file (.docx)</w:t>
            </w:r>
            <w:r w:rsidR="00E630B9">
              <w:rPr>
                <w:i/>
                <w:iCs/>
                <w:sz w:val="16"/>
                <w:szCs w:val="16"/>
              </w:rPr>
              <w:t>.</w:t>
            </w:r>
            <w:r w:rsidR="00C014CB">
              <w:rPr>
                <w:i/>
                <w:iCs/>
                <w:sz w:val="16"/>
                <w:szCs w:val="16"/>
              </w:rPr>
              <w:t xml:space="preserve"> </w:t>
            </w:r>
            <w:r w:rsidR="00C014CB" w:rsidRPr="00C014CB">
              <w:rPr>
                <w:i/>
                <w:iCs/>
                <w:sz w:val="16"/>
                <w:szCs w:val="16"/>
              </w:rPr>
              <w:t>Images are optional; however, if you include any, please credit all images, figures, and tables used, and add captions to provide context for the reader.</w:t>
            </w:r>
          </w:p>
        </w:tc>
      </w:tr>
      <w:tr w:rsidR="000A4664" w:rsidRPr="00B6581B" w14:paraId="06B07792" w14:textId="77777777" w:rsidTr="00F324FF">
        <w:tc>
          <w:tcPr>
            <w:tcW w:w="9016" w:type="dxa"/>
          </w:tcPr>
          <w:p w14:paraId="14CDBC9F" w14:textId="77777777" w:rsidR="000A4664" w:rsidRDefault="000A4664" w:rsidP="00F324FF">
            <w:pPr>
              <w:spacing w:after="200" w:line="276" w:lineRule="auto"/>
              <w:rPr>
                <w:rFonts w:cstheme="minorHAnsi"/>
                <w:color w:val="202024"/>
                <w:w w:val="90"/>
              </w:rPr>
            </w:pPr>
          </w:p>
          <w:p w14:paraId="775EB0C5" w14:textId="6495F259" w:rsidR="000A4664" w:rsidRPr="00F13EB9" w:rsidRDefault="000A4664" w:rsidP="00F324FF">
            <w:pPr>
              <w:spacing w:after="200" w:line="276" w:lineRule="auto"/>
              <w:rPr>
                <w:rFonts w:cstheme="minorHAnsi"/>
                <w:color w:val="202024"/>
                <w:w w:val="90"/>
              </w:rPr>
            </w:pPr>
          </w:p>
        </w:tc>
      </w:tr>
    </w:tbl>
    <w:p w14:paraId="3BCCABCC" w14:textId="77777777" w:rsidR="000A4664" w:rsidRDefault="000A4664" w:rsidP="008C15F7">
      <w:pPr>
        <w:rPr>
          <w:rFonts w:cstheme="minorHAnsi"/>
        </w:rPr>
      </w:pPr>
    </w:p>
    <w:p w14:paraId="720CA70E" w14:textId="4A2D5CCF" w:rsidR="00F955B7" w:rsidRPr="00E82928" w:rsidRDefault="00741892" w:rsidP="00C01C64">
      <w:r w:rsidRPr="00C01C64">
        <w:rPr>
          <w:rFonts w:cstheme="minorHAnsi"/>
          <w:b/>
          <w:bCs/>
        </w:rPr>
        <w:t>Step 2:</w:t>
      </w:r>
      <w:r>
        <w:rPr>
          <w:rFonts w:cstheme="minorHAnsi"/>
        </w:rPr>
        <w:t xml:space="preserve"> </w:t>
      </w:r>
      <w:r w:rsidR="00C01C64" w:rsidRPr="00C01C64">
        <w:rPr>
          <w:rFonts w:cstheme="minorHAnsi"/>
          <w:lang w:val="en-SG"/>
        </w:rPr>
        <w:t>Upload and submit</w:t>
      </w:r>
      <w:r w:rsidR="00C01C64">
        <w:rPr>
          <w:rFonts w:cstheme="minorHAnsi"/>
          <w:lang w:val="en-SG"/>
        </w:rPr>
        <w:t xml:space="preserve"> </w:t>
      </w:r>
      <w:r w:rsidR="00C01C64" w:rsidRPr="00C01C64">
        <w:rPr>
          <w:rFonts w:cstheme="minorHAnsi"/>
        </w:rPr>
        <w:t>using our ‘Secure File(s) Upload’</w:t>
      </w:r>
      <w:r w:rsidR="0071602C">
        <w:rPr>
          <w:rFonts w:cstheme="minorHAnsi"/>
        </w:rPr>
        <w:t xml:space="preserve"> link: </w:t>
      </w:r>
      <w:hyperlink r:id="rId8" w:history="1">
        <w:r w:rsidR="008D0D5D" w:rsidRPr="00EC6439">
          <w:rPr>
            <w:rStyle w:val="Hyperlink"/>
          </w:rPr>
          <w:t>https://filerequestpro.com/up/bioqc-article-contributor</w:t>
        </w:r>
      </w:hyperlink>
      <w:r w:rsidR="008D0D5D">
        <w:t xml:space="preserve"> </w:t>
      </w:r>
    </w:p>
    <w:p w14:paraId="3C461ABF" w14:textId="57B37DC2" w:rsidR="0071602C" w:rsidRDefault="0071602C" w:rsidP="0071602C">
      <w:pPr>
        <w:pStyle w:val="ListParagraph"/>
        <w:numPr>
          <w:ilvl w:val="0"/>
          <w:numId w:val="24"/>
        </w:numPr>
        <w:rPr>
          <w:rFonts w:cstheme="minorHAnsi"/>
          <w:lang w:val="en-SG"/>
        </w:rPr>
      </w:pPr>
      <w:r>
        <w:rPr>
          <w:rFonts w:cstheme="minorHAnsi"/>
          <w:lang w:val="en-SG"/>
        </w:rPr>
        <w:t>This c</w:t>
      </w:r>
      <w:r w:rsidR="00C01C64" w:rsidRPr="0071602C">
        <w:rPr>
          <w:rFonts w:cstheme="minorHAnsi"/>
          <w:lang w:val="en-SG"/>
        </w:rPr>
        <w:t xml:space="preserve">ompleted </w:t>
      </w:r>
      <w:r w:rsidR="00C92F12">
        <w:rPr>
          <w:rFonts w:cstheme="minorHAnsi"/>
          <w:lang w:val="en-SG"/>
        </w:rPr>
        <w:t xml:space="preserve">article </w:t>
      </w:r>
      <w:r w:rsidR="00F6247B">
        <w:rPr>
          <w:rFonts w:cstheme="minorHAnsi"/>
          <w:lang w:val="en-SG"/>
        </w:rPr>
        <w:t>contributor</w:t>
      </w:r>
      <w:r w:rsidR="00C01C64" w:rsidRPr="0071602C">
        <w:rPr>
          <w:rFonts w:cstheme="minorHAnsi"/>
          <w:lang w:val="en-SG"/>
        </w:rPr>
        <w:t xml:space="preserve"> questionnaire (.docx)</w:t>
      </w:r>
    </w:p>
    <w:p w14:paraId="1D22B022" w14:textId="64142D8C" w:rsidR="009557F3" w:rsidRDefault="00C01C64" w:rsidP="009557F3">
      <w:pPr>
        <w:pStyle w:val="ListParagraph"/>
        <w:numPr>
          <w:ilvl w:val="0"/>
          <w:numId w:val="24"/>
        </w:numPr>
        <w:rPr>
          <w:rFonts w:cstheme="minorHAnsi"/>
          <w:lang w:val="en-SG"/>
        </w:rPr>
      </w:pPr>
      <w:r w:rsidRPr="0071602C">
        <w:rPr>
          <w:rFonts w:cstheme="minorHAnsi"/>
          <w:lang w:val="en-SG"/>
        </w:rPr>
        <w:t>Your profile photo (.gif / .</w:t>
      </w:r>
      <w:proofErr w:type="spellStart"/>
      <w:r w:rsidRPr="0071602C">
        <w:rPr>
          <w:rFonts w:cstheme="minorHAnsi"/>
          <w:lang w:val="en-SG"/>
        </w:rPr>
        <w:t>png</w:t>
      </w:r>
      <w:proofErr w:type="spellEnd"/>
      <w:r w:rsidRPr="0071602C">
        <w:rPr>
          <w:rFonts w:cstheme="minorHAnsi"/>
          <w:lang w:val="en-SG"/>
        </w:rPr>
        <w:t>)</w:t>
      </w:r>
    </w:p>
    <w:p w14:paraId="1EB2C2B9" w14:textId="38225FA1" w:rsidR="009A6467" w:rsidRDefault="009A6467" w:rsidP="009557F3">
      <w:pPr>
        <w:pStyle w:val="ListParagraph"/>
        <w:numPr>
          <w:ilvl w:val="0"/>
          <w:numId w:val="24"/>
        </w:numPr>
        <w:rPr>
          <w:rFonts w:cstheme="minorHAnsi"/>
          <w:lang w:val="en-SG"/>
        </w:rPr>
      </w:pPr>
      <w:r>
        <w:rPr>
          <w:rFonts w:cstheme="minorHAnsi"/>
          <w:lang w:val="en-SG"/>
        </w:rPr>
        <w:t xml:space="preserve">Your article </w:t>
      </w:r>
      <w:r w:rsidR="00A71F8F">
        <w:rPr>
          <w:rFonts w:cstheme="minorHAnsi"/>
          <w:lang w:val="en-SG"/>
        </w:rPr>
        <w:t xml:space="preserve">text </w:t>
      </w:r>
      <w:r>
        <w:rPr>
          <w:rFonts w:cstheme="minorHAnsi"/>
          <w:lang w:val="en-SG"/>
        </w:rPr>
        <w:t>(.docx)</w:t>
      </w:r>
    </w:p>
    <w:p w14:paraId="78DC939E" w14:textId="01BF1D6D" w:rsidR="009A6467" w:rsidRPr="00F6247B" w:rsidRDefault="009A6467" w:rsidP="009557F3">
      <w:pPr>
        <w:pStyle w:val="ListParagraph"/>
        <w:numPr>
          <w:ilvl w:val="0"/>
          <w:numId w:val="24"/>
        </w:numPr>
        <w:rPr>
          <w:rFonts w:cstheme="minorHAnsi"/>
          <w:lang w:val="en-SG"/>
        </w:rPr>
      </w:pPr>
      <w:r>
        <w:rPr>
          <w:rFonts w:cstheme="minorHAnsi"/>
          <w:lang w:val="en-SG"/>
        </w:rPr>
        <w:t>Any images</w:t>
      </w:r>
      <w:r w:rsidR="00C47F34">
        <w:rPr>
          <w:rFonts w:cstheme="minorHAnsi"/>
          <w:lang w:val="en-SG"/>
        </w:rPr>
        <w:t>, figures, or tables</w:t>
      </w:r>
      <w:r>
        <w:rPr>
          <w:rFonts w:cstheme="minorHAnsi"/>
          <w:lang w:val="en-SG"/>
        </w:rPr>
        <w:t xml:space="preserve"> </w:t>
      </w:r>
      <w:r w:rsidR="00C47F34">
        <w:rPr>
          <w:rFonts w:cstheme="minorHAnsi"/>
          <w:lang w:val="en-SG"/>
        </w:rPr>
        <w:t xml:space="preserve">used </w:t>
      </w:r>
      <w:r w:rsidR="00DE4753">
        <w:rPr>
          <w:rFonts w:cstheme="minorHAnsi"/>
          <w:lang w:val="en-SG"/>
        </w:rPr>
        <w:t>(.gif / .</w:t>
      </w:r>
      <w:proofErr w:type="spellStart"/>
      <w:r w:rsidR="00DE4753">
        <w:rPr>
          <w:rFonts w:cstheme="minorHAnsi"/>
          <w:lang w:val="en-SG"/>
        </w:rPr>
        <w:t>png</w:t>
      </w:r>
      <w:proofErr w:type="spellEnd"/>
      <w:r w:rsidR="00DE4753">
        <w:rPr>
          <w:rFonts w:cstheme="minorHAnsi"/>
          <w:lang w:val="en-SG"/>
        </w:rPr>
        <w:t>)</w:t>
      </w:r>
      <w:r>
        <w:rPr>
          <w:rFonts w:cstheme="minorHAnsi"/>
          <w:lang w:val="en-SG"/>
        </w:rPr>
        <w:t xml:space="preserve"> </w:t>
      </w:r>
    </w:p>
    <w:p w14:paraId="686F9259" w14:textId="0E19B7A8" w:rsidR="003E6BF9" w:rsidRPr="000A20F3" w:rsidRDefault="000A20F3" w:rsidP="000A20F3">
      <w:pPr>
        <w:pStyle w:val="Heading2"/>
        <w:rPr>
          <w:rFonts w:asciiTheme="minorHAnsi" w:hAnsiTheme="minorHAnsi" w:cstheme="minorHAnsi"/>
          <w:b/>
          <w:color w:val="058653"/>
        </w:rPr>
      </w:pPr>
      <w:r>
        <w:rPr>
          <w:rFonts w:asciiTheme="minorHAnsi" w:hAnsiTheme="minorHAnsi" w:cstheme="minorHAnsi"/>
          <w:b/>
          <w:color w:val="058653"/>
        </w:rPr>
        <w:t>Questions?</w:t>
      </w:r>
    </w:p>
    <w:p w14:paraId="283940AF" w14:textId="3A3B77A6" w:rsidR="003E6BF9" w:rsidRDefault="000955AE" w:rsidP="008C15F7">
      <w:r w:rsidRPr="000955AE">
        <w:rPr>
          <w:rFonts w:cstheme="minorHAnsi"/>
        </w:rPr>
        <w:t>Contact us at</w:t>
      </w:r>
      <w:r>
        <w:rPr>
          <w:rFonts w:cstheme="minorHAnsi"/>
        </w:rPr>
        <w:t xml:space="preserve"> </w:t>
      </w:r>
      <w:hyperlink r:id="rId9" w:history="1">
        <w:r w:rsidRPr="00427095">
          <w:rPr>
            <w:rStyle w:val="Hyperlink"/>
            <w:rFonts w:cstheme="minorHAnsi"/>
          </w:rPr>
          <w:t>https://bio-qc.com/contact-us/feedback/</w:t>
        </w:r>
      </w:hyperlink>
    </w:p>
    <w:p w14:paraId="3148F545" w14:textId="6CC6B383" w:rsidR="00FA4B40" w:rsidRPr="000A20F3" w:rsidRDefault="00B5711C" w:rsidP="00FA4B40">
      <w:pPr>
        <w:pStyle w:val="Heading2"/>
        <w:rPr>
          <w:rFonts w:asciiTheme="minorHAnsi" w:hAnsiTheme="minorHAnsi" w:cstheme="minorHAnsi"/>
          <w:b/>
          <w:color w:val="058653"/>
        </w:rPr>
      </w:pPr>
      <w:r>
        <w:rPr>
          <w:rFonts w:asciiTheme="minorHAnsi" w:hAnsiTheme="minorHAnsi" w:cstheme="minorHAnsi"/>
          <w:b/>
          <w:color w:val="058653"/>
        </w:rPr>
        <w:lastRenderedPageBreak/>
        <w:t xml:space="preserve">Article </w:t>
      </w:r>
      <w:r w:rsidR="00FA4B40">
        <w:rPr>
          <w:rFonts w:asciiTheme="minorHAnsi" w:hAnsiTheme="minorHAnsi" w:cstheme="minorHAnsi"/>
          <w:b/>
          <w:color w:val="058653"/>
        </w:rPr>
        <w:t>Example</w:t>
      </w:r>
    </w:p>
    <w:p w14:paraId="3E9A64AB" w14:textId="24DC2EA8" w:rsidR="00F6247B" w:rsidRPr="0093272D" w:rsidRDefault="009A6467" w:rsidP="008C15F7">
      <w:pPr>
        <w:pStyle w:val="ListParagraph"/>
        <w:numPr>
          <w:ilvl w:val="0"/>
          <w:numId w:val="24"/>
        </w:numPr>
      </w:pPr>
      <w:hyperlink r:id="rId10" w:history="1">
        <w:r w:rsidRPr="00EC6439">
          <w:rPr>
            <w:rStyle w:val="Hyperlink"/>
          </w:rPr>
          <w:t>https://bio-qc.com/ich-q14-guideline-overview-for-analytical-procedure-lifecycle-management/</w:t>
        </w:r>
      </w:hyperlink>
      <w:r>
        <w:t xml:space="preserve"> </w:t>
      </w:r>
    </w:p>
    <w:p w14:paraId="5B828AA1" w14:textId="55D8F979" w:rsidR="000A20F3" w:rsidRDefault="00B73672" w:rsidP="000A20F3">
      <w:pPr>
        <w:pStyle w:val="Heading2"/>
        <w:rPr>
          <w:rFonts w:asciiTheme="minorHAnsi" w:hAnsiTheme="minorHAnsi" w:cstheme="minorHAnsi"/>
          <w:b/>
          <w:color w:val="058653"/>
        </w:rPr>
      </w:pPr>
      <w:r>
        <w:rPr>
          <w:rFonts w:asciiTheme="minorHAnsi" w:hAnsiTheme="minorHAnsi" w:cstheme="minorHAnsi"/>
          <w:b/>
          <w:color w:val="058653"/>
        </w:rPr>
        <w:t xml:space="preserve">Article </w:t>
      </w:r>
      <w:r w:rsidR="00F6247B">
        <w:rPr>
          <w:rFonts w:asciiTheme="minorHAnsi" w:hAnsiTheme="minorHAnsi" w:cstheme="minorHAnsi"/>
          <w:b/>
          <w:color w:val="058653"/>
        </w:rPr>
        <w:t>Contributor</w:t>
      </w:r>
      <w:r w:rsidR="000A20F3">
        <w:rPr>
          <w:rFonts w:asciiTheme="minorHAnsi" w:hAnsiTheme="minorHAnsi" w:cstheme="minorHAnsi"/>
          <w:b/>
          <w:color w:val="058653"/>
        </w:rPr>
        <w:t xml:space="preserve"> Guidelines</w:t>
      </w:r>
    </w:p>
    <w:p w14:paraId="4E55CE1F" w14:textId="77777777" w:rsidR="00942F1A" w:rsidRPr="00C272AC" w:rsidRDefault="00942F1A" w:rsidP="00942F1A">
      <w:pPr>
        <w:pStyle w:val="Heading2"/>
        <w:rPr>
          <w:rFonts w:asciiTheme="minorHAnsi" w:hAnsiTheme="minorHAnsi" w:cstheme="minorHAnsi"/>
          <w:b/>
          <w:color w:val="000000" w:themeColor="text1"/>
          <w:sz w:val="28"/>
          <w:szCs w:val="28"/>
        </w:rPr>
      </w:pPr>
      <w:r w:rsidRPr="006F3A86">
        <w:rPr>
          <w:rFonts w:asciiTheme="minorHAnsi" w:hAnsiTheme="minorHAnsi" w:cstheme="minorHAnsi"/>
          <w:b/>
          <w:color w:val="000000" w:themeColor="text1"/>
          <w:sz w:val="28"/>
          <w:szCs w:val="28"/>
        </w:rPr>
        <w:t>Useful to know</w:t>
      </w:r>
    </w:p>
    <w:p w14:paraId="4CD157A6" w14:textId="7DAB0B7F" w:rsidR="00942F1A" w:rsidRPr="00F6247B" w:rsidRDefault="00942F1A" w:rsidP="00942F1A">
      <w:pPr>
        <w:rPr>
          <w:rFonts w:cstheme="minorHAnsi"/>
          <w:lang w:val="en-SG"/>
        </w:rPr>
      </w:pPr>
      <w:proofErr w:type="spellStart"/>
      <w:r w:rsidRPr="00F6247B">
        <w:rPr>
          <w:rFonts w:cstheme="minorHAnsi"/>
          <w:lang w:val="en-SG"/>
        </w:rPr>
        <w:t>BioQC</w:t>
      </w:r>
      <w:proofErr w:type="spellEnd"/>
      <w:r w:rsidRPr="00F6247B">
        <w:rPr>
          <w:rFonts w:cstheme="minorHAnsi"/>
          <w:lang w:val="en-SG"/>
        </w:rPr>
        <w:t xml:space="preserve"> is excited to receive and publish your contributed article on our website, www.bio-qc.com, </w:t>
      </w:r>
      <w:r w:rsidR="00C47F34">
        <w:rPr>
          <w:rFonts w:cstheme="minorHAnsi"/>
          <w:lang w:val="en-SG"/>
        </w:rPr>
        <w:t>provided</w:t>
      </w:r>
      <w:r w:rsidRPr="00F6247B">
        <w:rPr>
          <w:rFonts w:cstheme="minorHAnsi"/>
          <w:lang w:val="en-SG"/>
        </w:rPr>
        <w:t xml:space="preserve"> it aligns with our focus areas.</w:t>
      </w:r>
    </w:p>
    <w:p w14:paraId="161C53B9" w14:textId="77777777" w:rsidR="00942F1A" w:rsidRPr="006C7518" w:rsidRDefault="00942F1A" w:rsidP="006C7518">
      <w:pPr>
        <w:pStyle w:val="ListParagraph"/>
        <w:numPr>
          <w:ilvl w:val="0"/>
          <w:numId w:val="28"/>
        </w:numPr>
        <w:rPr>
          <w:rFonts w:cstheme="minorHAnsi"/>
          <w:lang w:val="en-SG"/>
        </w:rPr>
      </w:pPr>
      <w:r w:rsidRPr="006C7518">
        <w:rPr>
          <w:rFonts w:cstheme="minorHAnsi"/>
          <w:lang w:val="en-SG"/>
        </w:rPr>
        <w:t>Share practical and pertinent insights on a specific challenge or technological method. You might spotlight a recent development, explore its application, provide valuable user tips, or examine global or regional regulatory changes affecting biopharmaceutical drug development, from initial clinical trials to post-approval manufacturing.</w:t>
      </w:r>
    </w:p>
    <w:p w14:paraId="3C6F7488" w14:textId="3ECAEE3F" w:rsidR="00942F1A" w:rsidRPr="003776D5" w:rsidRDefault="00942F1A" w:rsidP="00942F1A">
      <w:pPr>
        <w:numPr>
          <w:ilvl w:val="0"/>
          <w:numId w:val="28"/>
        </w:numPr>
        <w:rPr>
          <w:lang w:val="en-SG" w:eastAsia="en-GB"/>
        </w:rPr>
      </w:pPr>
      <w:r w:rsidRPr="00942F1A">
        <w:rPr>
          <w:lang w:val="en-SG" w:eastAsia="en-GB"/>
        </w:rPr>
        <w:t xml:space="preserve">Topics can range from broad (e.g., </w:t>
      </w:r>
      <w:r w:rsidRPr="00942F1A">
        <w:rPr>
          <w:i/>
          <w:iCs/>
          <w:lang w:val="en-SG" w:eastAsia="en-GB"/>
        </w:rPr>
        <w:t>What is QC?</w:t>
      </w:r>
      <w:r w:rsidRPr="00942F1A">
        <w:rPr>
          <w:lang w:val="en-SG" w:eastAsia="en-GB"/>
        </w:rPr>
        <w:t xml:space="preserve">) to specific (e.g., </w:t>
      </w:r>
      <w:r w:rsidRPr="00942F1A">
        <w:rPr>
          <w:i/>
          <w:iCs/>
          <w:lang w:val="en-SG" w:eastAsia="en-GB"/>
        </w:rPr>
        <w:t>Glycosylation analysis in vaccine products</w:t>
      </w:r>
      <w:r w:rsidRPr="00942F1A">
        <w:rPr>
          <w:lang w:val="en-SG" w:eastAsia="en-GB"/>
        </w:rPr>
        <w:t>).</w:t>
      </w:r>
      <w:r w:rsidR="006C7518">
        <w:rPr>
          <w:lang w:val="en-SG" w:eastAsia="en-GB"/>
        </w:rPr>
        <w:t xml:space="preserve"> </w:t>
      </w:r>
      <w:r w:rsidRPr="00942F1A">
        <w:rPr>
          <w:lang w:val="en-SG" w:eastAsia="en-GB"/>
        </w:rPr>
        <w:t>See a list of topic</w:t>
      </w:r>
      <w:r w:rsidR="005F198F">
        <w:rPr>
          <w:lang w:val="en-SG" w:eastAsia="en-GB"/>
        </w:rPr>
        <w:t xml:space="preserve"> ideas</w:t>
      </w:r>
      <w:r w:rsidRPr="00942F1A">
        <w:rPr>
          <w:lang w:val="en-SG" w:eastAsia="en-GB"/>
        </w:rPr>
        <w:t xml:space="preserve"> on the following pages.</w:t>
      </w:r>
    </w:p>
    <w:p w14:paraId="458FCA8D" w14:textId="2F63AFC8" w:rsidR="000A20F3" w:rsidRDefault="00C272AC" w:rsidP="000A20F3">
      <w:pPr>
        <w:pStyle w:val="Heading2"/>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Requirements</w:t>
      </w:r>
    </w:p>
    <w:p w14:paraId="072C48C5" w14:textId="4CE11D8D" w:rsidR="006C7518" w:rsidRPr="005F4032" w:rsidRDefault="006C7518" w:rsidP="005F4032">
      <w:pPr>
        <w:pStyle w:val="ListParagraph"/>
        <w:numPr>
          <w:ilvl w:val="0"/>
          <w:numId w:val="30"/>
        </w:numPr>
        <w:ind w:left="714" w:hanging="357"/>
        <w:contextualSpacing w:val="0"/>
        <w:rPr>
          <w:lang w:val="en-SG" w:eastAsia="en-GB"/>
        </w:rPr>
      </w:pPr>
      <w:r w:rsidRPr="005F4032">
        <w:rPr>
          <w:lang w:val="en-SG" w:eastAsia="en-GB"/>
        </w:rPr>
        <w:t xml:space="preserve">Articles should be up to 1,500 words in length and no less than </w:t>
      </w:r>
      <w:r w:rsidR="009B054A" w:rsidRPr="005F4032">
        <w:t>8</w:t>
      </w:r>
      <w:r w:rsidRPr="005F4032">
        <w:rPr>
          <w:lang w:val="en-SG" w:eastAsia="en-GB"/>
        </w:rPr>
        <w:t>00 words.</w:t>
      </w:r>
    </w:p>
    <w:p w14:paraId="72B77082" w14:textId="0CDF4568" w:rsidR="00C272AC" w:rsidRPr="005F4032" w:rsidRDefault="006C7518" w:rsidP="005F4032">
      <w:pPr>
        <w:pStyle w:val="ListParagraph"/>
        <w:numPr>
          <w:ilvl w:val="0"/>
          <w:numId w:val="30"/>
        </w:numPr>
        <w:ind w:left="714" w:hanging="357"/>
        <w:contextualSpacing w:val="0"/>
      </w:pPr>
      <w:r w:rsidRPr="005F4032">
        <w:rPr>
          <w:lang w:val="en-SG" w:eastAsia="en-GB"/>
        </w:rPr>
        <w:t>U</w:t>
      </w:r>
      <w:r w:rsidR="003776D5" w:rsidRPr="005F4032">
        <w:t>K</w:t>
      </w:r>
      <w:r w:rsidRPr="005F4032">
        <w:rPr>
          <w:lang w:val="en-SG" w:eastAsia="en-GB"/>
        </w:rPr>
        <w:t xml:space="preserve"> English should be used.</w:t>
      </w:r>
    </w:p>
    <w:p w14:paraId="4FA0D642" w14:textId="77777777" w:rsidR="00760690" w:rsidRPr="005F4032" w:rsidRDefault="00760690" w:rsidP="005F4032">
      <w:pPr>
        <w:pStyle w:val="ListParagraph"/>
        <w:numPr>
          <w:ilvl w:val="0"/>
          <w:numId w:val="30"/>
        </w:numPr>
        <w:ind w:left="714" w:hanging="357"/>
      </w:pPr>
      <w:bookmarkStart w:id="0" w:name="OLE_LINK1"/>
      <w:r w:rsidRPr="005F4032">
        <w:rPr>
          <w:lang w:val="en-SG" w:eastAsia="en-GB"/>
        </w:rPr>
        <w:t>Images are optional; however, if you include any, please credit all images, figures, and tables used, and add captions to provide context for the reader.</w:t>
      </w:r>
    </w:p>
    <w:p w14:paraId="14C3B2B8" w14:textId="429FD19F" w:rsidR="00C6304D" w:rsidRPr="00F6247B" w:rsidRDefault="00C6304D" w:rsidP="00C6304D">
      <w:pPr>
        <w:numPr>
          <w:ilvl w:val="0"/>
          <w:numId w:val="27"/>
        </w:numPr>
        <w:rPr>
          <w:rFonts w:cstheme="minorHAnsi"/>
          <w:lang w:val="en-SG"/>
        </w:rPr>
      </w:pPr>
      <w:r w:rsidRPr="00F6247B">
        <w:rPr>
          <w:rFonts w:cstheme="minorHAnsi"/>
          <w:lang w:val="en-SG"/>
        </w:rPr>
        <w:t>Please ensure your article is non-promotional and does not mention products, services, or companies in a marketing context. Sponsored opportunities for Application Notes and eBooks are available</w:t>
      </w:r>
      <w:r w:rsidR="00760690">
        <w:rPr>
          <w:rFonts w:cstheme="minorHAnsi"/>
          <w:lang w:val="en-SG"/>
        </w:rPr>
        <w:t xml:space="preserve"> </w:t>
      </w:r>
      <w:hyperlink r:id="rId11" w:history="1">
        <w:r w:rsidRPr="00F6247B">
          <w:rPr>
            <w:rStyle w:val="Hyperlink"/>
            <w:rFonts w:cstheme="minorHAnsi"/>
            <w:b/>
            <w:bCs/>
            <w:lang w:val="en-SG"/>
          </w:rPr>
          <w:t>here</w:t>
        </w:r>
      </w:hyperlink>
      <w:r w:rsidRPr="00F6247B">
        <w:rPr>
          <w:rFonts w:cstheme="minorHAnsi"/>
          <w:lang w:val="en-SG"/>
        </w:rPr>
        <w:t>.</w:t>
      </w:r>
    </w:p>
    <w:p w14:paraId="32AC0B5F" w14:textId="77777777" w:rsidR="00C6304D" w:rsidRPr="00F6247B" w:rsidRDefault="00C6304D" w:rsidP="00C6304D">
      <w:pPr>
        <w:numPr>
          <w:ilvl w:val="0"/>
          <w:numId w:val="27"/>
        </w:numPr>
        <w:rPr>
          <w:rFonts w:cstheme="minorHAnsi"/>
          <w:lang w:val="en-SG"/>
        </w:rPr>
      </w:pPr>
      <w:r w:rsidRPr="00F6247B">
        <w:rPr>
          <w:rFonts w:cstheme="minorHAnsi"/>
          <w:lang w:val="en-SG"/>
        </w:rPr>
        <w:t xml:space="preserve">All submitted materials must receive approval from </w:t>
      </w:r>
      <w:proofErr w:type="spellStart"/>
      <w:r w:rsidRPr="00F6247B">
        <w:rPr>
          <w:rFonts w:cstheme="minorHAnsi"/>
          <w:lang w:val="en-SG"/>
        </w:rPr>
        <w:t>BioQC’s</w:t>
      </w:r>
      <w:proofErr w:type="spellEnd"/>
      <w:r w:rsidRPr="00F6247B">
        <w:rPr>
          <w:rFonts w:cstheme="minorHAnsi"/>
          <w:lang w:val="en-SG"/>
        </w:rPr>
        <w:t xml:space="preserve"> scientific and editorial team before publication. The materials should adhere to our editorial guidelines and fit within the scope of the </w:t>
      </w:r>
      <w:proofErr w:type="spellStart"/>
      <w:r w:rsidRPr="00F6247B">
        <w:rPr>
          <w:rFonts w:cstheme="minorHAnsi"/>
          <w:lang w:val="en-SG"/>
        </w:rPr>
        <w:t>BioQC</w:t>
      </w:r>
      <w:proofErr w:type="spellEnd"/>
      <w:r w:rsidRPr="00F6247B">
        <w:rPr>
          <w:rFonts w:cstheme="minorHAnsi"/>
          <w:lang w:val="en-SG"/>
        </w:rPr>
        <w:t xml:space="preserve"> website.</w:t>
      </w:r>
    </w:p>
    <w:p w14:paraId="0D3CFCC7" w14:textId="77777777" w:rsidR="00C6304D" w:rsidRPr="00F6247B" w:rsidRDefault="00C6304D" w:rsidP="00C6304D">
      <w:pPr>
        <w:numPr>
          <w:ilvl w:val="0"/>
          <w:numId w:val="27"/>
        </w:numPr>
        <w:rPr>
          <w:rFonts w:cstheme="minorHAnsi"/>
          <w:lang w:val="en-SG"/>
        </w:rPr>
      </w:pPr>
      <w:r w:rsidRPr="00F6247B">
        <w:rPr>
          <w:rFonts w:cstheme="minorHAnsi"/>
          <w:lang w:val="en-SG"/>
        </w:rPr>
        <w:t xml:space="preserve">Any content submitted to </w:t>
      </w:r>
      <w:proofErr w:type="spellStart"/>
      <w:r w:rsidRPr="00F6247B">
        <w:rPr>
          <w:rFonts w:cstheme="minorHAnsi"/>
          <w:lang w:val="en-SG"/>
        </w:rPr>
        <w:t>BioQC</w:t>
      </w:r>
      <w:proofErr w:type="spellEnd"/>
      <w:r w:rsidRPr="00F6247B">
        <w:rPr>
          <w:rFonts w:cstheme="minorHAnsi"/>
          <w:lang w:val="en-SG"/>
        </w:rPr>
        <w:t xml:space="preserve"> must be original to the author and should not include other individuals’ data, words, or images without obtaining permission when necessary and providing proper citations.</w:t>
      </w:r>
    </w:p>
    <w:p w14:paraId="77BA19C8" w14:textId="77777777" w:rsidR="00C6304D" w:rsidRPr="00F6247B" w:rsidRDefault="00C6304D" w:rsidP="00C6304D">
      <w:pPr>
        <w:numPr>
          <w:ilvl w:val="0"/>
          <w:numId w:val="27"/>
        </w:numPr>
        <w:rPr>
          <w:rFonts w:cstheme="minorHAnsi"/>
          <w:lang w:val="en-SG"/>
        </w:rPr>
      </w:pPr>
      <w:r w:rsidRPr="00F6247B">
        <w:rPr>
          <w:rFonts w:cstheme="minorHAnsi"/>
          <w:lang w:val="en-SG"/>
        </w:rPr>
        <w:t xml:space="preserve">By submitting an article to </w:t>
      </w:r>
      <w:proofErr w:type="spellStart"/>
      <w:r w:rsidRPr="00F6247B">
        <w:rPr>
          <w:rFonts w:cstheme="minorHAnsi"/>
          <w:lang w:val="en-SG"/>
        </w:rPr>
        <w:t>BioQC</w:t>
      </w:r>
      <w:proofErr w:type="spellEnd"/>
      <w:r w:rsidRPr="00F6247B">
        <w:rPr>
          <w:rFonts w:cstheme="minorHAnsi"/>
          <w:lang w:val="en-SG"/>
        </w:rPr>
        <w:t xml:space="preserve">, you grant a global, royalty-free, perpetual, and irrevocable licence to </w:t>
      </w:r>
      <w:proofErr w:type="spellStart"/>
      <w:r w:rsidRPr="00F6247B">
        <w:rPr>
          <w:rFonts w:cstheme="minorHAnsi"/>
          <w:lang w:val="en-SG"/>
        </w:rPr>
        <w:t>BioQC</w:t>
      </w:r>
      <w:proofErr w:type="spellEnd"/>
      <w:r w:rsidRPr="00F6247B">
        <w:rPr>
          <w:rFonts w:cstheme="minorHAnsi"/>
          <w:lang w:val="en-SG"/>
        </w:rPr>
        <w:t xml:space="preserve">. This permits </w:t>
      </w:r>
      <w:proofErr w:type="spellStart"/>
      <w:r w:rsidRPr="00F6247B">
        <w:rPr>
          <w:rFonts w:cstheme="minorHAnsi"/>
          <w:lang w:val="en-SG"/>
        </w:rPr>
        <w:t>BioQC</w:t>
      </w:r>
      <w:proofErr w:type="spellEnd"/>
      <w:r w:rsidRPr="00F6247B">
        <w:rPr>
          <w:rFonts w:cstheme="minorHAnsi"/>
          <w:lang w:val="en-SG"/>
        </w:rPr>
        <w:t xml:space="preserve"> to utilise the content, in whole or in part, across its website, social media, and other platforms (such as eBooks and Learning Guides) where no conflicts of interest arise.</w:t>
      </w:r>
    </w:p>
    <w:p w14:paraId="397C1667" w14:textId="77777777" w:rsidR="00C6304D" w:rsidRPr="00F6247B" w:rsidRDefault="00C6304D" w:rsidP="00C6304D">
      <w:pPr>
        <w:numPr>
          <w:ilvl w:val="0"/>
          <w:numId w:val="27"/>
        </w:numPr>
        <w:rPr>
          <w:rFonts w:cstheme="minorHAnsi"/>
          <w:lang w:val="en-SG"/>
        </w:rPr>
      </w:pPr>
      <w:r w:rsidRPr="00F6247B">
        <w:rPr>
          <w:rFonts w:cstheme="minorHAnsi"/>
          <w:lang w:val="en-SG"/>
        </w:rPr>
        <w:t>Full credit will be attributed to the author whenever the article is published, with the author’s byline prominently displayed.</w:t>
      </w:r>
    </w:p>
    <w:p w14:paraId="67DCE4F5" w14:textId="5074AE70" w:rsidR="00B5711C" w:rsidRPr="00B5711C" w:rsidRDefault="00C6304D" w:rsidP="00B5711C">
      <w:pPr>
        <w:numPr>
          <w:ilvl w:val="0"/>
          <w:numId w:val="27"/>
        </w:numPr>
        <w:rPr>
          <w:rFonts w:cstheme="minorHAnsi"/>
          <w:lang w:val="en-SG"/>
        </w:rPr>
      </w:pPr>
      <w:proofErr w:type="spellStart"/>
      <w:r w:rsidRPr="00F6247B">
        <w:rPr>
          <w:rFonts w:cstheme="minorHAnsi"/>
          <w:lang w:val="en-SG"/>
        </w:rPr>
        <w:lastRenderedPageBreak/>
        <w:t>BioQC</w:t>
      </w:r>
      <w:proofErr w:type="spellEnd"/>
      <w:r w:rsidRPr="00F6247B">
        <w:rPr>
          <w:rFonts w:cstheme="minorHAnsi"/>
          <w:lang w:val="en-SG"/>
        </w:rPr>
        <w:t xml:space="preserve"> reserves the right to edit articles to ensure they align with our brand style guidelines.</w:t>
      </w:r>
    </w:p>
    <w:p w14:paraId="7D57A32F" w14:textId="7F0E8138" w:rsidR="00E01285" w:rsidRPr="00B5711C" w:rsidRDefault="00B5711C" w:rsidP="00B5711C">
      <w:pPr>
        <w:pStyle w:val="Heading2"/>
        <w:rPr>
          <w:rFonts w:asciiTheme="minorHAnsi" w:hAnsiTheme="minorHAnsi" w:cstheme="minorHAnsi"/>
          <w:b/>
          <w:color w:val="058653"/>
        </w:rPr>
      </w:pPr>
      <w:r>
        <w:rPr>
          <w:rFonts w:asciiTheme="minorHAnsi" w:hAnsiTheme="minorHAnsi" w:cstheme="minorHAnsi"/>
          <w:b/>
          <w:color w:val="058653"/>
        </w:rPr>
        <w:t>About Us</w:t>
      </w:r>
    </w:p>
    <w:p w14:paraId="261C3218" w14:textId="77777777" w:rsidR="00E01285" w:rsidRDefault="00E01285" w:rsidP="00E01285">
      <w:pPr>
        <w:spacing w:after="160" w:line="278" w:lineRule="auto"/>
      </w:pPr>
      <w:proofErr w:type="spellStart"/>
      <w:r>
        <w:t>BioQC</w:t>
      </w:r>
      <w:proofErr w:type="spellEnd"/>
      <w:r>
        <w:t xml:space="preserve"> is a global knowledge platform for scientists, researchers and innovators involved in the development and manufacturing of biopharmaceuticals and biologicals.</w:t>
      </w:r>
    </w:p>
    <w:p w14:paraId="22BA8B7A" w14:textId="77777777" w:rsidR="00E01285" w:rsidRDefault="00E01285" w:rsidP="00E01285">
      <w:pPr>
        <w:spacing w:after="160" w:line="278" w:lineRule="auto"/>
      </w:pPr>
      <w:r>
        <w:t>We deliver in-depth, expert-driven content and facilitate meaningful discussions around the challenges and innovations in CMC and related areas. From FIH studies to market approval, we support every stage of drug development with expert insights delivered via articles, eBooks, webinars, expert forums, and a thriving user community.</w:t>
      </w:r>
    </w:p>
    <w:p w14:paraId="6985891B" w14:textId="77777777" w:rsidR="00E01285" w:rsidRDefault="00E01285" w:rsidP="00E01285">
      <w:pPr>
        <w:spacing w:after="160" w:line="278" w:lineRule="auto"/>
      </w:pPr>
      <w:r>
        <w:t xml:space="preserve">Learn from experts across all key disciplines involved in the lifecycle of biologics, </w:t>
      </w:r>
      <w:proofErr w:type="gramStart"/>
      <w:r>
        <w:t>including:</w:t>
      </w:r>
      <w:proofErr w:type="gramEnd"/>
      <w:r>
        <w:t xml:space="preserve"> Upstream Process Development (USP), Downstream Process Development (DSP), Analytical Development (AD), Product Characterisation, Formulation Development, Quality Control (QC), Quality Assurance (QA), Regulatory Affairs, CMC Management, and Manufacturing.</w:t>
      </w:r>
    </w:p>
    <w:p w14:paraId="42E9BD15" w14:textId="77777777" w:rsidR="00E01285" w:rsidRDefault="00E01285" w:rsidP="00E01285">
      <w:pPr>
        <w:spacing w:after="160" w:line="278" w:lineRule="auto"/>
      </w:pPr>
      <w:r>
        <w:t xml:space="preserve">At </w:t>
      </w:r>
      <w:proofErr w:type="spellStart"/>
      <w:r>
        <w:t>BioQC</w:t>
      </w:r>
      <w:proofErr w:type="spellEnd"/>
      <w:r>
        <w:t>, we believe that knowledge sharing accelerates progress — leading to more robust processes, faster development timelines, and safer, high-quality medicines for patients worldwide.</w:t>
      </w:r>
    </w:p>
    <w:p w14:paraId="63A088B7" w14:textId="227DF551" w:rsidR="00E01285" w:rsidRPr="00E01285" w:rsidRDefault="00E01285" w:rsidP="00E01285">
      <w:pPr>
        <w:spacing w:after="160" w:line="278" w:lineRule="auto"/>
      </w:pPr>
      <w:hyperlink r:id="rId12">
        <w:r>
          <w:rPr>
            <w:color w:val="0000FF"/>
            <w:u w:val="single"/>
          </w:rPr>
          <w:t>https://bio-qc.com/about-us/</w:t>
        </w:r>
      </w:hyperlink>
      <w:r>
        <w:t xml:space="preserve"> </w:t>
      </w:r>
    </w:p>
    <w:p w14:paraId="0A50CABF" w14:textId="0A22CA18" w:rsidR="00702A4E" w:rsidRPr="001C1F66" w:rsidRDefault="00387E94" w:rsidP="00702A4E">
      <w:pPr>
        <w:pStyle w:val="Heading2"/>
        <w:rPr>
          <w:rFonts w:asciiTheme="minorHAnsi" w:hAnsiTheme="minorHAnsi" w:cstheme="minorHAnsi"/>
          <w:b/>
          <w:color w:val="058653"/>
        </w:rPr>
      </w:pPr>
      <w:r>
        <w:rPr>
          <w:rFonts w:asciiTheme="minorHAnsi" w:hAnsiTheme="minorHAnsi" w:cstheme="minorHAnsi"/>
          <w:b/>
          <w:color w:val="058653"/>
        </w:rPr>
        <w:t>Article Topic Ideas</w:t>
      </w:r>
    </w:p>
    <w:p w14:paraId="2E030483" w14:textId="77777777" w:rsidR="00387E94" w:rsidRPr="00387E94" w:rsidRDefault="00387E94" w:rsidP="00387E94">
      <w:pPr>
        <w:rPr>
          <w:rFonts w:cstheme="minorHAnsi"/>
          <w:lang w:val="en-SG"/>
        </w:rPr>
      </w:pPr>
      <w:bookmarkStart w:id="1" w:name="_r009748rnbcc" w:colFirst="0" w:colLast="0"/>
      <w:bookmarkEnd w:id="0"/>
      <w:bookmarkEnd w:id="1"/>
      <w:r w:rsidRPr="00387E94">
        <w:rPr>
          <w:rFonts w:cstheme="minorHAnsi"/>
          <w:lang w:val="en-SG"/>
        </w:rPr>
        <w:t>(</w:t>
      </w:r>
      <w:r w:rsidRPr="00387E94">
        <w:rPr>
          <w:rFonts w:cstheme="minorHAnsi"/>
          <w:i/>
          <w:iCs/>
          <w:lang w:val="en-SG"/>
        </w:rPr>
        <w:t>Each sub-bullet could be a standalone article</w:t>
      </w:r>
      <w:r w:rsidRPr="00387E94">
        <w:rPr>
          <w:rFonts w:cstheme="minorHAnsi"/>
          <w:lang w:val="en-SG"/>
        </w:rPr>
        <w:t>)</w:t>
      </w:r>
    </w:p>
    <w:p w14:paraId="7115BEC0" w14:textId="77777777" w:rsidR="00ED3514" w:rsidRPr="00ED3514" w:rsidRDefault="00ED3514" w:rsidP="00ED3514">
      <w:pPr>
        <w:rPr>
          <w:rFonts w:cstheme="minorHAnsi"/>
          <w:b/>
          <w:bCs/>
        </w:rPr>
      </w:pPr>
      <w:r w:rsidRPr="00ED3514">
        <w:rPr>
          <w:rFonts w:cstheme="minorHAnsi"/>
          <w:b/>
          <w:bCs/>
        </w:rPr>
        <w:t>Regulatory Guidelines &amp; Compliance</w:t>
      </w:r>
    </w:p>
    <w:p w14:paraId="6A43B279" w14:textId="77777777" w:rsidR="00ED3514" w:rsidRPr="00ED3514" w:rsidRDefault="00ED3514" w:rsidP="00ED3514">
      <w:pPr>
        <w:contextualSpacing/>
        <w:rPr>
          <w:rFonts w:cstheme="minorHAnsi"/>
        </w:rPr>
      </w:pPr>
      <w:r w:rsidRPr="00ED3514">
        <w:rPr>
          <w:rFonts w:cstheme="minorHAnsi"/>
        </w:rPr>
        <w:t>ICH Q14 – Analytical Procedure Development</w:t>
      </w:r>
    </w:p>
    <w:p w14:paraId="4222CD5C" w14:textId="77777777" w:rsidR="00ED3514" w:rsidRPr="00ED3514" w:rsidRDefault="00ED3514" w:rsidP="00ED3514">
      <w:pPr>
        <w:numPr>
          <w:ilvl w:val="0"/>
          <w:numId w:val="33"/>
        </w:numPr>
        <w:contextualSpacing/>
        <w:rPr>
          <w:rFonts w:cstheme="minorHAnsi"/>
        </w:rPr>
      </w:pPr>
      <w:r w:rsidRPr="00ED3514">
        <w:rPr>
          <w:rFonts w:cstheme="minorHAnsi"/>
        </w:rPr>
        <w:t>Key Challenges and Solutions in Implementing ICH Q14</w:t>
      </w:r>
    </w:p>
    <w:p w14:paraId="4C2D107F" w14:textId="77777777" w:rsidR="00ED3514" w:rsidRPr="00ED3514" w:rsidRDefault="00ED3514" w:rsidP="00ED3514">
      <w:pPr>
        <w:numPr>
          <w:ilvl w:val="0"/>
          <w:numId w:val="33"/>
        </w:numPr>
        <w:contextualSpacing/>
        <w:rPr>
          <w:rFonts w:cstheme="minorHAnsi"/>
        </w:rPr>
      </w:pPr>
      <w:r w:rsidRPr="00ED3514">
        <w:rPr>
          <w:rFonts w:cstheme="minorHAnsi"/>
        </w:rPr>
        <w:t>ICH Q14 vs. Analytical Quality by Design (</w:t>
      </w:r>
      <w:proofErr w:type="spellStart"/>
      <w:r w:rsidRPr="00ED3514">
        <w:rPr>
          <w:rFonts w:cstheme="minorHAnsi"/>
        </w:rPr>
        <w:t>AQbD</w:t>
      </w:r>
      <w:proofErr w:type="spellEnd"/>
      <w:r w:rsidRPr="00ED3514">
        <w:rPr>
          <w:rFonts w:cstheme="minorHAnsi"/>
        </w:rPr>
        <w:t>)</w:t>
      </w:r>
    </w:p>
    <w:p w14:paraId="77DEBC50" w14:textId="77777777" w:rsidR="00ED3514" w:rsidRPr="00ED3514" w:rsidRDefault="00ED3514" w:rsidP="00ED3514">
      <w:pPr>
        <w:contextualSpacing/>
        <w:rPr>
          <w:rFonts w:cstheme="minorHAnsi"/>
        </w:rPr>
      </w:pPr>
      <w:r w:rsidRPr="00ED3514">
        <w:rPr>
          <w:rFonts w:cstheme="minorHAnsi"/>
        </w:rPr>
        <w:t>ICH Q2(R2) – Analytical Method Validation</w:t>
      </w:r>
    </w:p>
    <w:p w14:paraId="36EB43A5" w14:textId="77777777" w:rsidR="00ED3514" w:rsidRPr="00ED3514" w:rsidRDefault="00ED3514" w:rsidP="00ED3514">
      <w:pPr>
        <w:numPr>
          <w:ilvl w:val="0"/>
          <w:numId w:val="34"/>
        </w:numPr>
        <w:contextualSpacing/>
        <w:rPr>
          <w:rFonts w:cstheme="minorHAnsi"/>
        </w:rPr>
      </w:pPr>
      <w:r w:rsidRPr="00ED3514">
        <w:rPr>
          <w:rFonts w:cstheme="minorHAnsi"/>
        </w:rPr>
        <w:t>What Is Method Validation? Why Do We Validate Methods?</w:t>
      </w:r>
    </w:p>
    <w:p w14:paraId="7A8EF112" w14:textId="77777777" w:rsidR="00ED3514" w:rsidRPr="00ED3514" w:rsidRDefault="00ED3514" w:rsidP="00ED3514">
      <w:pPr>
        <w:numPr>
          <w:ilvl w:val="0"/>
          <w:numId w:val="34"/>
        </w:numPr>
        <w:contextualSpacing/>
        <w:rPr>
          <w:rFonts w:cstheme="minorHAnsi"/>
        </w:rPr>
      </w:pPr>
      <w:r w:rsidRPr="00ED3514">
        <w:rPr>
          <w:rFonts w:cstheme="minorHAnsi"/>
        </w:rPr>
        <w:t>Differences Between Q2(R1) and Q2(R2)</w:t>
      </w:r>
    </w:p>
    <w:p w14:paraId="58C34177" w14:textId="77777777" w:rsidR="00ED3514" w:rsidRPr="00ED3514" w:rsidRDefault="00ED3514" w:rsidP="00ED3514">
      <w:pPr>
        <w:numPr>
          <w:ilvl w:val="0"/>
          <w:numId w:val="34"/>
        </w:numPr>
        <w:contextualSpacing/>
        <w:rPr>
          <w:rFonts w:cstheme="minorHAnsi"/>
        </w:rPr>
      </w:pPr>
      <w:r w:rsidRPr="00ED3514">
        <w:rPr>
          <w:rFonts w:cstheme="minorHAnsi"/>
        </w:rPr>
        <w:t>Understanding the ICH Q2 Guideline</w:t>
      </w:r>
    </w:p>
    <w:p w14:paraId="55B34AB8" w14:textId="77777777" w:rsidR="00ED3514" w:rsidRPr="00ED3514" w:rsidRDefault="00ED3514" w:rsidP="00ED3514">
      <w:pPr>
        <w:numPr>
          <w:ilvl w:val="0"/>
          <w:numId w:val="34"/>
        </w:numPr>
        <w:contextualSpacing/>
        <w:rPr>
          <w:rFonts w:cstheme="minorHAnsi"/>
        </w:rPr>
      </w:pPr>
      <w:r w:rsidRPr="00ED3514">
        <w:rPr>
          <w:rFonts w:cstheme="minorHAnsi"/>
        </w:rPr>
        <w:t>Key Challenges and Solutions in Adapting to ICH Q2(R2)</w:t>
      </w:r>
    </w:p>
    <w:p w14:paraId="5A46628A" w14:textId="77777777" w:rsidR="00ED3514" w:rsidRPr="00ED3514" w:rsidRDefault="00ED3514" w:rsidP="00ED3514">
      <w:pPr>
        <w:numPr>
          <w:ilvl w:val="0"/>
          <w:numId w:val="34"/>
        </w:numPr>
        <w:contextualSpacing/>
        <w:rPr>
          <w:rFonts w:cstheme="minorHAnsi"/>
        </w:rPr>
      </w:pPr>
      <w:r w:rsidRPr="00ED3514">
        <w:rPr>
          <w:rFonts w:cstheme="minorHAnsi"/>
        </w:rPr>
        <w:t>Validation vs. Qualification</w:t>
      </w:r>
    </w:p>
    <w:p w14:paraId="593F1EF9" w14:textId="77777777" w:rsidR="00ED3514" w:rsidRPr="00ED3514" w:rsidRDefault="00ED3514" w:rsidP="00ED3514">
      <w:pPr>
        <w:contextualSpacing/>
        <w:rPr>
          <w:rFonts w:cstheme="minorHAnsi"/>
        </w:rPr>
      </w:pPr>
      <w:r w:rsidRPr="00ED3514">
        <w:rPr>
          <w:rFonts w:cstheme="minorHAnsi"/>
        </w:rPr>
        <w:t>ICH Q6B – Specification Setting</w:t>
      </w:r>
    </w:p>
    <w:p w14:paraId="6594244D" w14:textId="77777777" w:rsidR="00ED3514" w:rsidRPr="00ED3514" w:rsidRDefault="00ED3514" w:rsidP="00ED3514">
      <w:pPr>
        <w:numPr>
          <w:ilvl w:val="0"/>
          <w:numId w:val="35"/>
        </w:numPr>
        <w:contextualSpacing/>
        <w:rPr>
          <w:rFonts w:cstheme="minorHAnsi"/>
        </w:rPr>
      </w:pPr>
      <w:r w:rsidRPr="00ED3514">
        <w:rPr>
          <w:rFonts w:cstheme="minorHAnsi"/>
        </w:rPr>
        <w:t>Current Guidelines and Best Practices</w:t>
      </w:r>
    </w:p>
    <w:p w14:paraId="7F4182BF" w14:textId="77777777" w:rsidR="00ED3514" w:rsidRPr="00ED3514" w:rsidRDefault="00ED3514" w:rsidP="00ED3514">
      <w:pPr>
        <w:numPr>
          <w:ilvl w:val="0"/>
          <w:numId w:val="35"/>
        </w:numPr>
        <w:contextualSpacing/>
        <w:rPr>
          <w:rFonts w:cstheme="minorHAnsi"/>
        </w:rPr>
      </w:pPr>
      <w:r w:rsidRPr="00ED3514">
        <w:rPr>
          <w:rFonts w:cstheme="minorHAnsi"/>
        </w:rPr>
        <w:t>Future Directions: Clinical Relevance in Specification Setting</w:t>
      </w:r>
    </w:p>
    <w:p w14:paraId="0F41E55B" w14:textId="77777777" w:rsidR="00ED3514" w:rsidRPr="00ED3514" w:rsidRDefault="00ED3514" w:rsidP="00ED3514">
      <w:pPr>
        <w:contextualSpacing/>
        <w:rPr>
          <w:rFonts w:cstheme="minorHAnsi"/>
        </w:rPr>
      </w:pPr>
      <w:r w:rsidRPr="00ED3514">
        <w:rPr>
          <w:rFonts w:cstheme="minorHAnsi"/>
        </w:rPr>
        <w:t>ICH M10 – Bioanalytical Method Validation</w:t>
      </w:r>
    </w:p>
    <w:p w14:paraId="6E089338" w14:textId="77777777" w:rsidR="00ED3514" w:rsidRPr="00ED3514" w:rsidRDefault="00ED3514" w:rsidP="00ED3514">
      <w:pPr>
        <w:numPr>
          <w:ilvl w:val="0"/>
          <w:numId w:val="36"/>
        </w:numPr>
        <w:contextualSpacing/>
        <w:rPr>
          <w:rFonts w:cstheme="minorHAnsi"/>
        </w:rPr>
      </w:pPr>
      <w:r w:rsidRPr="00ED3514">
        <w:rPr>
          <w:rFonts w:cstheme="minorHAnsi"/>
        </w:rPr>
        <w:t>Key Principles and Implementation Challenges</w:t>
      </w:r>
    </w:p>
    <w:p w14:paraId="5A04D044" w14:textId="77777777" w:rsidR="00ED3514" w:rsidRPr="00ED3514" w:rsidRDefault="00ED3514" w:rsidP="00ED3514">
      <w:pPr>
        <w:numPr>
          <w:ilvl w:val="0"/>
          <w:numId w:val="36"/>
        </w:numPr>
        <w:contextualSpacing/>
        <w:rPr>
          <w:rFonts w:cstheme="minorHAnsi"/>
        </w:rPr>
      </w:pPr>
      <w:r w:rsidRPr="00ED3514">
        <w:rPr>
          <w:rFonts w:cstheme="minorHAnsi"/>
        </w:rPr>
        <w:t>Differences Between ICH M10 and FDA/EMA Bioanalytical Guidelines</w:t>
      </w:r>
    </w:p>
    <w:p w14:paraId="05B6A363" w14:textId="7319ECE0" w:rsidR="00ED3514" w:rsidRPr="00ED3514" w:rsidRDefault="00ED3514" w:rsidP="00ED3514">
      <w:pPr>
        <w:contextualSpacing/>
        <w:rPr>
          <w:rFonts w:cstheme="minorHAnsi"/>
        </w:rPr>
      </w:pPr>
      <w:r w:rsidRPr="00ED3514">
        <w:rPr>
          <w:rFonts w:cstheme="minorHAnsi"/>
        </w:rPr>
        <w:t>Annex</w:t>
      </w:r>
      <w:r>
        <w:rPr>
          <w:rFonts w:cstheme="minorHAnsi"/>
        </w:rPr>
        <w:t>e</w:t>
      </w:r>
      <w:r w:rsidRPr="00ED3514">
        <w:rPr>
          <w:rFonts w:cstheme="minorHAnsi"/>
        </w:rPr>
        <w:t xml:space="preserve"> 1 – GMP for Sterile Manufacturing</w:t>
      </w:r>
    </w:p>
    <w:p w14:paraId="4AA6C8E8" w14:textId="77777777" w:rsidR="00ED3514" w:rsidRPr="00ED3514" w:rsidRDefault="00ED3514" w:rsidP="00ED3514">
      <w:pPr>
        <w:numPr>
          <w:ilvl w:val="0"/>
          <w:numId w:val="37"/>
        </w:numPr>
        <w:contextualSpacing/>
        <w:rPr>
          <w:rFonts w:cstheme="minorHAnsi"/>
        </w:rPr>
      </w:pPr>
      <w:r w:rsidRPr="00ED3514">
        <w:rPr>
          <w:rFonts w:cstheme="minorHAnsi"/>
        </w:rPr>
        <w:t>Impact on Analytical Testing and QC Requirements</w:t>
      </w:r>
    </w:p>
    <w:p w14:paraId="7B76521B" w14:textId="7CCD82A5" w:rsidR="00ED3514" w:rsidRPr="00ED3514" w:rsidRDefault="00ED3514" w:rsidP="00ED3514">
      <w:pPr>
        <w:contextualSpacing/>
        <w:rPr>
          <w:rFonts w:cstheme="minorHAnsi"/>
        </w:rPr>
      </w:pPr>
      <w:r w:rsidRPr="00ED3514">
        <w:rPr>
          <w:rFonts w:cstheme="minorHAnsi"/>
        </w:rPr>
        <w:t>Pharmacopeial Harmoni</w:t>
      </w:r>
      <w:r>
        <w:rPr>
          <w:rFonts w:cstheme="minorHAnsi"/>
        </w:rPr>
        <w:t>s</w:t>
      </w:r>
      <w:r w:rsidRPr="00ED3514">
        <w:rPr>
          <w:rFonts w:cstheme="minorHAnsi"/>
        </w:rPr>
        <w:t>ation (USP, EP, JP)</w:t>
      </w:r>
    </w:p>
    <w:p w14:paraId="0538D03F" w14:textId="77777777" w:rsidR="00ED3514" w:rsidRPr="00ED3514" w:rsidRDefault="00ED3514" w:rsidP="00ED3514">
      <w:pPr>
        <w:numPr>
          <w:ilvl w:val="0"/>
          <w:numId w:val="38"/>
        </w:numPr>
        <w:contextualSpacing/>
        <w:rPr>
          <w:rFonts w:cstheme="minorHAnsi"/>
        </w:rPr>
      </w:pPr>
      <w:r w:rsidRPr="00ED3514">
        <w:rPr>
          <w:rFonts w:cstheme="minorHAnsi"/>
        </w:rPr>
        <w:lastRenderedPageBreak/>
        <w:t>How Global Standards Are Evolving for Biopharmaceuticals</w:t>
      </w:r>
    </w:p>
    <w:p w14:paraId="6F99ACB8" w14:textId="77777777" w:rsidR="00ED3514" w:rsidRPr="00ED3514" w:rsidRDefault="00ED3514" w:rsidP="00ED3514">
      <w:pPr>
        <w:contextualSpacing/>
        <w:rPr>
          <w:rFonts w:cstheme="minorHAnsi"/>
        </w:rPr>
      </w:pPr>
      <w:r w:rsidRPr="00ED3514">
        <w:rPr>
          <w:rFonts w:cstheme="minorHAnsi"/>
        </w:rPr>
        <w:t>Data Integrity in Analytical Laboratories</w:t>
      </w:r>
    </w:p>
    <w:p w14:paraId="7583F2A5" w14:textId="77777777" w:rsidR="00ED3514" w:rsidRPr="00ED3514" w:rsidRDefault="00ED3514" w:rsidP="00ED3514">
      <w:pPr>
        <w:numPr>
          <w:ilvl w:val="0"/>
          <w:numId w:val="39"/>
        </w:numPr>
        <w:contextualSpacing/>
        <w:rPr>
          <w:rFonts w:cstheme="minorHAnsi"/>
        </w:rPr>
      </w:pPr>
      <w:r w:rsidRPr="00ED3514">
        <w:rPr>
          <w:rFonts w:cstheme="minorHAnsi"/>
        </w:rPr>
        <w:t>Best Practices for Ensuring Compliance with ALCOA+ Principles</w:t>
      </w:r>
    </w:p>
    <w:p w14:paraId="095A691E" w14:textId="6200A20B" w:rsidR="00F6247B" w:rsidRDefault="00ED3514" w:rsidP="00ED3514">
      <w:pPr>
        <w:contextualSpacing/>
        <w:rPr>
          <w:rFonts w:cstheme="minorHAnsi"/>
        </w:rPr>
      </w:pPr>
      <w:r w:rsidRPr="00ED3514">
        <w:rPr>
          <w:rFonts w:cstheme="minorHAnsi"/>
        </w:rPr>
        <w:t>Total Error Concept</w:t>
      </w:r>
    </w:p>
    <w:p w14:paraId="29B675C9" w14:textId="77777777" w:rsidR="000F3B19" w:rsidRDefault="000F3B19" w:rsidP="00ED3514">
      <w:pPr>
        <w:contextualSpacing/>
        <w:rPr>
          <w:rFonts w:cstheme="minorHAnsi"/>
        </w:rPr>
      </w:pPr>
    </w:p>
    <w:p w14:paraId="11EF8F66" w14:textId="77777777" w:rsidR="000F3B19" w:rsidRPr="000F3B19" w:rsidRDefault="000F3B19" w:rsidP="000F3B19">
      <w:pPr>
        <w:contextualSpacing/>
        <w:rPr>
          <w:rFonts w:cstheme="minorHAnsi"/>
          <w:b/>
          <w:bCs/>
        </w:rPr>
      </w:pPr>
      <w:r w:rsidRPr="000F3B19">
        <w:rPr>
          <w:rFonts w:cstheme="minorHAnsi"/>
          <w:b/>
          <w:bCs/>
        </w:rPr>
        <w:t>Analytical Science &amp; Methodology</w:t>
      </w:r>
    </w:p>
    <w:p w14:paraId="2E5CFDEB" w14:textId="77777777" w:rsidR="000F3B19" w:rsidRPr="000F3B19" w:rsidRDefault="000F3B19" w:rsidP="000F3B19">
      <w:pPr>
        <w:contextualSpacing/>
        <w:rPr>
          <w:rFonts w:cstheme="minorHAnsi"/>
        </w:rPr>
      </w:pPr>
    </w:p>
    <w:p w14:paraId="4085ED3F" w14:textId="77777777" w:rsidR="000F3B19" w:rsidRPr="000F3B19" w:rsidRDefault="000F3B19" w:rsidP="000F3B19">
      <w:pPr>
        <w:contextualSpacing/>
        <w:rPr>
          <w:rFonts w:cstheme="minorHAnsi"/>
        </w:rPr>
      </w:pPr>
      <w:r w:rsidRPr="000F3B19">
        <w:rPr>
          <w:rFonts w:cstheme="minorHAnsi"/>
        </w:rPr>
        <w:t>Method Development &amp; Validation</w:t>
      </w:r>
    </w:p>
    <w:p w14:paraId="6CEB71A9" w14:textId="77777777" w:rsidR="000F3B19" w:rsidRPr="000F3B19" w:rsidRDefault="000F3B19" w:rsidP="000F3B19">
      <w:pPr>
        <w:numPr>
          <w:ilvl w:val="0"/>
          <w:numId w:val="33"/>
        </w:numPr>
        <w:contextualSpacing/>
        <w:rPr>
          <w:rFonts w:cstheme="minorHAnsi"/>
        </w:rPr>
      </w:pPr>
      <w:r w:rsidRPr="000F3B19">
        <w:rPr>
          <w:rFonts w:cstheme="minorHAnsi"/>
        </w:rPr>
        <w:t>Best Practices in Method Development</w:t>
      </w:r>
    </w:p>
    <w:p w14:paraId="1F745031" w14:textId="77777777" w:rsidR="000F3B19" w:rsidRPr="000F3B19" w:rsidRDefault="000F3B19" w:rsidP="000F3B19">
      <w:pPr>
        <w:numPr>
          <w:ilvl w:val="0"/>
          <w:numId w:val="33"/>
        </w:numPr>
        <w:contextualSpacing/>
        <w:rPr>
          <w:rFonts w:cstheme="minorHAnsi"/>
        </w:rPr>
      </w:pPr>
      <w:r w:rsidRPr="000F3B19">
        <w:rPr>
          <w:rFonts w:cstheme="minorHAnsi"/>
        </w:rPr>
        <w:t>Updating Analytical Procedures: A Practical Guide to Making Changes</w:t>
      </w:r>
    </w:p>
    <w:p w14:paraId="4C351B93" w14:textId="77777777" w:rsidR="000F3B19" w:rsidRPr="000F3B19" w:rsidRDefault="000F3B19" w:rsidP="000F3B19">
      <w:pPr>
        <w:numPr>
          <w:ilvl w:val="0"/>
          <w:numId w:val="33"/>
        </w:numPr>
        <w:contextualSpacing/>
        <w:rPr>
          <w:rFonts w:cstheme="minorHAnsi"/>
        </w:rPr>
      </w:pPr>
      <w:r w:rsidRPr="000F3B19">
        <w:rPr>
          <w:rFonts w:cstheme="minorHAnsi"/>
        </w:rPr>
        <w:t>Method Life-Cycle Management (MLCM) – From Development to Retirement</w:t>
      </w:r>
    </w:p>
    <w:p w14:paraId="2C6FC3F3" w14:textId="77777777" w:rsidR="000F3B19" w:rsidRPr="000F3B19" w:rsidRDefault="000F3B19" w:rsidP="000F3B19">
      <w:pPr>
        <w:numPr>
          <w:ilvl w:val="0"/>
          <w:numId w:val="33"/>
        </w:numPr>
        <w:contextualSpacing/>
        <w:rPr>
          <w:rFonts w:cstheme="minorHAnsi"/>
        </w:rPr>
      </w:pPr>
      <w:r w:rsidRPr="000F3B19">
        <w:rPr>
          <w:rFonts w:cstheme="minorHAnsi"/>
        </w:rPr>
        <w:t>Managing Uncertainty in Pharmaceutical Analysis</w:t>
      </w:r>
    </w:p>
    <w:p w14:paraId="56BD0A2E" w14:textId="77777777" w:rsidR="000F3B19" w:rsidRPr="000F3B19" w:rsidRDefault="000F3B19" w:rsidP="000F3B19">
      <w:pPr>
        <w:numPr>
          <w:ilvl w:val="0"/>
          <w:numId w:val="33"/>
        </w:numPr>
        <w:contextualSpacing/>
        <w:rPr>
          <w:rFonts w:cstheme="minorHAnsi"/>
        </w:rPr>
      </w:pPr>
      <w:r w:rsidRPr="000F3B19">
        <w:rPr>
          <w:rFonts w:cstheme="minorHAnsi"/>
        </w:rPr>
        <w:t>Standard Deviation vs. Confidence Interval vs. Tolerance Interval</w:t>
      </w:r>
    </w:p>
    <w:p w14:paraId="048C8225" w14:textId="4E4678A5" w:rsidR="000F3B19" w:rsidRPr="000F3B19" w:rsidRDefault="000F3B19" w:rsidP="000F3B19">
      <w:pPr>
        <w:numPr>
          <w:ilvl w:val="0"/>
          <w:numId w:val="33"/>
        </w:numPr>
        <w:contextualSpacing/>
        <w:rPr>
          <w:rFonts w:cstheme="minorHAnsi"/>
        </w:rPr>
      </w:pPr>
      <w:r w:rsidRPr="000F3B19">
        <w:rPr>
          <w:rFonts w:cstheme="minorHAnsi"/>
        </w:rPr>
        <w:t>Error Propagation – How to Determine the Error in Your Analysis</w:t>
      </w:r>
    </w:p>
    <w:p w14:paraId="1D69655D" w14:textId="77777777" w:rsidR="000F3B19" w:rsidRPr="000F3B19" w:rsidRDefault="000F3B19" w:rsidP="000F3B19">
      <w:pPr>
        <w:contextualSpacing/>
        <w:rPr>
          <w:rFonts w:cstheme="minorHAnsi"/>
        </w:rPr>
      </w:pPr>
      <w:r w:rsidRPr="000F3B19">
        <w:rPr>
          <w:rFonts w:cstheme="minorHAnsi"/>
        </w:rPr>
        <w:t>Advanced Analytical Strategies</w:t>
      </w:r>
    </w:p>
    <w:p w14:paraId="6F6262CB" w14:textId="77777777" w:rsidR="000F3B19" w:rsidRPr="000F3B19" w:rsidRDefault="000F3B19" w:rsidP="000F3B19">
      <w:pPr>
        <w:numPr>
          <w:ilvl w:val="0"/>
          <w:numId w:val="34"/>
        </w:numPr>
        <w:contextualSpacing/>
        <w:rPr>
          <w:rFonts w:cstheme="minorHAnsi"/>
        </w:rPr>
      </w:pPr>
      <w:r w:rsidRPr="000F3B19">
        <w:rPr>
          <w:rFonts w:cstheme="minorHAnsi"/>
        </w:rPr>
        <w:t>Multi-Attribute Method (MAM) in Biopharmaceutical Analysis</w:t>
      </w:r>
    </w:p>
    <w:p w14:paraId="2C7506ED" w14:textId="77777777" w:rsidR="000F3B19" w:rsidRPr="000F3B19" w:rsidRDefault="000F3B19" w:rsidP="000F3B19">
      <w:pPr>
        <w:numPr>
          <w:ilvl w:val="0"/>
          <w:numId w:val="34"/>
        </w:numPr>
        <w:contextualSpacing/>
        <w:rPr>
          <w:rFonts w:cstheme="minorHAnsi"/>
        </w:rPr>
      </w:pPr>
      <w:r w:rsidRPr="000F3B19">
        <w:rPr>
          <w:rFonts w:cstheme="minorHAnsi"/>
        </w:rPr>
        <w:t>High-Resolution Mass Spectrometry in Biologics Characterisation</w:t>
      </w:r>
    </w:p>
    <w:p w14:paraId="3371BF66" w14:textId="77777777" w:rsidR="000F3B19" w:rsidRDefault="000F3B19" w:rsidP="000F3B19">
      <w:pPr>
        <w:numPr>
          <w:ilvl w:val="0"/>
          <w:numId w:val="34"/>
        </w:numPr>
        <w:contextualSpacing/>
        <w:rPr>
          <w:rFonts w:cstheme="minorHAnsi"/>
        </w:rPr>
      </w:pPr>
      <w:r w:rsidRPr="000F3B19">
        <w:rPr>
          <w:rFonts w:cstheme="minorHAnsi"/>
        </w:rPr>
        <w:t>Comparability Studies for Biologics and Biosimilars</w:t>
      </w:r>
    </w:p>
    <w:p w14:paraId="6BFB003E" w14:textId="761F8D04" w:rsidR="000F3B19" w:rsidRDefault="000F3B19" w:rsidP="000F3B19">
      <w:pPr>
        <w:numPr>
          <w:ilvl w:val="0"/>
          <w:numId w:val="34"/>
        </w:numPr>
        <w:contextualSpacing/>
        <w:rPr>
          <w:rFonts w:cstheme="minorHAnsi"/>
        </w:rPr>
      </w:pPr>
      <w:r w:rsidRPr="000F3B19">
        <w:rPr>
          <w:rFonts w:cstheme="minorHAnsi"/>
        </w:rPr>
        <w:t>Real-Time Release Testing (RTRT) in Biopharma</w:t>
      </w:r>
    </w:p>
    <w:p w14:paraId="0DB58E71" w14:textId="77777777" w:rsidR="00402F21" w:rsidRDefault="00402F21" w:rsidP="00402F21">
      <w:pPr>
        <w:contextualSpacing/>
        <w:rPr>
          <w:rFonts w:cstheme="minorHAnsi"/>
        </w:rPr>
      </w:pPr>
    </w:p>
    <w:p w14:paraId="5B1B2991" w14:textId="77777777" w:rsidR="00402F21" w:rsidRPr="00402F21" w:rsidRDefault="00402F21" w:rsidP="00402F21">
      <w:pPr>
        <w:contextualSpacing/>
        <w:rPr>
          <w:rFonts w:cstheme="minorHAnsi"/>
          <w:b/>
          <w:bCs/>
        </w:rPr>
      </w:pPr>
      <w:r w:rsidRPr="00402F21">
        <w:rPr>
          <w:rFonts w:cstheme="minorHAnsi"/>
          <w:b/>
          <w:bCs/>
        </w:rPr>
        <w:t>Quality Control &amp; Manufacturing</w:t>
      </w:r>
    </w:p>
    <w:p w14:paraId="3C169491" w14:textId="77777777" w:rsidR="00402F21" w:rsidRPr="00402F21" w:rsidRDefault="00402F21" w:rsidP="00402F21">
      <w:pPr>
        <w:contextualSpacing/>
        <w:rPr>
          <w:rFonts w:cstheme="minorHAnsi"/>
        </w:rPr>
      </w:pPr>
    </w:p>
    <w:p w14:paraId="494E3FF0" w14:textId="77777777" w:rsidR="00402F21" w:rsidRPr="00402F21" w:rsidRDefault="00402F21" w:rsidP="00402F21">
      <w:pPr>
        <w:contextualSpacing/>
        <w:rPr>
          <w:rFonts w:cstheme="minorHAnsi"/>
        </w:rPr>
      </w:pPr>
      <w:r w:rsidRPr="00402F21">
        <w:rPr>
          <w:rFonts w:cstheme="minorHAnsi"/>
        </w:rPr>
        <w:t>Quality Control &amp; Assurance</w:t>
      </w:r>
    </w:p>
    <w:p w14:paraId="59F7BC0B" w14:textId="77777777" w:rsidR="00402F21" w:rsidRPr="00402F21" w:rsidRDefault="00402F21" w:rsidP="00402F21">
      <w:pPr>
        <w:numPr>
          <w:ilvl w:val="0"/>
          <w:numId w:val="33"/>
        </w:numPr>
        <w:contextualSpacing/>
        <w:rPr>
          <w:rFonts w:cstheme="minorHAnsi"/>
        </w:rPr>
      </w:pPr>
      <w:r w:rsidRPr="00402F21">
        <w:rPr>
          <w:rFonts w:cstheme="minorHAnsi"/>
        </w:rPr>
        <w:t>What Are Critical Quality Attributes (CQAs)?</w:t>
      </w:r>
    </w:p>
    <w:p w14:paraId="0FF5D461" w14:textId="77777777" w:rsidR="00402F21" w:rsidRPr="00402F21" w:rsidRDefault="00402F21" w:rsidP="00402F21">
      <w:pPr>
        <w:numPr>
          <w:ilvl w:val="0"/>
          <w:numId w:val="33"/>
        </w:numPr>
        <w:contextualSpacing/>
        <w:rPr>
          <w:rFonts w:cstheme="minorHAnsi"/>
        </w:rPr>
      </w:pPr>
      <w:r w:rsidRPr="00402F21">
        <w:rPr>
          <w:rFonts w:cstheme="minorHAnsi"/>
        </w:rPr>
        <w:t>QC vs. QA – Understanding the Differences</w:t>
      </w:r>
    </w:p>
    <w:p w14:paraId="64E153AB" w14:textId="77777777" w:rsidR="00402F21" w:rsidRPr="00402F21" w:rsidRDefault="00402F21" w:rsidP="00402F21">
      <w:pPr>
        <w:numPr>
          <w:ilvl w:val="0"/>
          <w:numId w:val="33"/>
        </w:numPr>
        <w:contextualSpacing/>
        <w:rPr>
          <w:rFonts w:cstheme="minorHAnsi"/>
        </w:rPr>
      </w:pPr>
      <w:r w:rsidRPr="00402F21">
        <w:rPr>
          <w:rFonts w:cstheme="minorHAnsi"/>
        </w:rPr>
        <w:t>Implementing an Effective Quality Management System (QMS)</w:t>
      </w:r>
    </w:p>
    <w:p w14:paraId="3353BD6F" w14:textId="77777777" w:rsidR="00402F21" w:rsidRPr="00402F21" w:rsidRDefault="00402F21" w:rsidP="00402F21">
      <w:pPr>
        <w:contextualSpacing/>
        <w:rPr>
          <w:rFonts w:cstheme="minorHAnsi"/>
        </w:rPr>
      </w:pPr>
      <w:r w:rsidRPr="00402F21">
        <w:rPr>
          <w:rFonts w:cstheme="minorHAnsi"/>
        </w:rPr>
        <w:t>Pharmaceutical Manufacturing</w:t>
      </w:r>
    </w:p>
    <w:p w14:paraId="2E971DE6" w14:textId="77777777" w:rsidR="00402F21" w:rsidRPr="00402F21" w:rsidRDefault="00402F21" w:rsidP="00402F21">
      <w:pPr>
        <w:numPr>
          <w:ilvl w:val="0"/>
          <w:numId w:val="34"/>
        </w:numPr>
        <w:contextualSpacing/>
        <w:rPr>
          <w:rFonts w:cstheme="minorHAnsi"/>
        </w:rPr>
      </w:pPr>
      <w:r w:rsidRPr="00402F21">
        <w:rPr>
          <w:rFonts w:cstheme="minorHAnsi"/>
        </w:rPr>
        <w:t>Batch vs. Continuous Manufacturing – Pros, Cons, and Trends</w:t>
      </w:r>
    </w:p>
    <w:p w14:paraId="7662BA79" w14:textId="77777777" w:rsidR="00402F21" w:rsidRPr="00402F21" w:rsidRDefault="00402F21" w:rsidP="00402F21">
      <w:pPr>
        <w:numPr>
          <w:ilvl w:val="0"/>
          <w:numId w:val="34"/>
        </w:numPr>
        <w:contextualSpacing/>
        <w:rPr>
          <w:rFonts w:cstheme="minorHAnsi"/>
        </w:rPr>
      </w:pPr>
      <w:r w:rsidRPr="00402F21">
        <w:rPr>
          <w:rFonts w:cstheme="minorHAnsi"/>
        </w:rPr>
        <w:t>Analytical Considerations for Biopharmaceutical Manufacturing</w:t>
      </w:r>
    </w:p>
    <w:p w14:paraId="44989D75" w14:textId="77777777" w:rsidR="00402F21" w:rsidRPr="00402F21" w:rsidRDefault="00402F21" w:rsidP="00402F21">
      <w:pPr>
        <w:contextualSpacing/>
        <w:rPr>
          <w:rFonts w:cstheme="minorHAnsi"/>
        </w:rPr>
      </w:pPr>
      <w:r w:rsidRPr="00402F21">
        <w:rPr>
          <w:rFonts w:cstheme="minorHAnsi"/>
        </w:rPr>
        <w:t>Analytical Strategies for Cell &amp; Gene Therapy Products</w:t>
      </w:r>
    </w:p>
    <w:p w14:paraId="2DDD61C1" w14:textId="5CE964E1" w:rsidR="00402F21" w:rsidRPr="00402F21" w:rsidRDefault="00402F21" w:rsidP="00402F21">
      <w:pPr>
        <w:numPr>
          <w:ilvl w:val="0"/>
          <w:numId w:val="35"/>
        </w:numPr>
        <w:contextualSpacing/>
        <w:rPr>
          <w:rFonts w:cstheme="minorHAnsi"/>
        </w:rPr>
      </w:pPr>
      <w:r w:rsidRPr="00402F21">
        <w:rPr>
          <w:rFonts w:cstheme="minorHAnsi"/>
        </w:rPr>
        <w:t>Unique Challenges in Characteri</w:t>
      </w:r>
      <w:r w:rsidR="00F62E09">
        <w:rPr>
          <w:rFonts w:cstheme="minorHAnsi"/>
        </w:rPr>
        <w:t>s</w:t>
      </w:r>
      <w:r w:rsidRPr="00402F21">
        <w:rPr>
          <w:rFonts w:cstheme="minorHAnsi"/>
        </w:rPr>
        <w:t>ation and Release Testing</w:t>
      </w:r>
    </w:p>
    <w:p w14:paraId="20FBF132" w14:textId="77777777" w:rsidR="00402F21" w:rsidRPr="00402F21" w:rsidRDefault="00402F21" w:rsidP="00402F21">
      <w:pPr>
        <w:contextualSpacing/>
        <w:rPr>
          <w:rFonts w:cstheme="minorHAnsi"/>
        </w:rPr>
      </w:pPr>
      <w:r w:rsidRPr="00402F21">
        <w:rPr>
          <w:rFonts w:cstheme="minorHAnsi"/>
        </w:rPr>
        <w:t>Impurity Profiling in Biologics and Vaccines</w:t>
      </w:r>
    </w:p>
    <w:p w14:paraId="7C60DAF6" w14:textId="77777777" w:rsidR="00402F21" w:rsidRPr="00402F21" w:rsidRDefault="00402F21" w:rsidP="00402F21">
      <w:pPr>
        <w:numPr>
          <w:ilvl w:val="0"/>
          <w:numId w:val="36"/>
        </w:numPr>
        <w:contextualSpacing/>
        <w:rPr>
          <w:rFonts w:cstheme="minorHAnsi"/>
        </w:rPr>
      </w:pPr>
      <w:r w:rsidRPr="00402F21">
        <w:rPr>
          <w:rFonts w:cstheme="minorHAnsi"/>
        </w:rPr>
        <w:t>Advances in Detection and Quantification of Process-Related Impurities</w:t>
      </w:r>
    </w:p>
    <w:p w14:paraId="2ABCFA5E" w14:textId="77777777" w:rsidR="00402F21" w:rsidRPr="00402F21" w:rsidRDefault="00402F21" w:rsidP="00402F21">
      <w:pPr>
        <w:numPr>
          <w:ilvl w:val="0"/>
          <w:numId w:val="36"/>
        </w:numPr>
        <w:contextualSpacing/>
        <w:rPr>
          <w:rFonts w:cstheme="minorHAnsi"/>
        </w:rPr>
      </w:pPr>
      <w:r w:rsidRPr="00402F21">
        <w:rPr>
          <w:rFonts w:cstheme="minorHAnsi"/>
        </w:rPr>
        <w:t xml:space="preserve">Extractables &amp; </w:t>
      </w:r>
      <w:proofErr w:type="spellStart"/>
      <w:r w:rsidRPr="00402F21">
        <w:rPr>
          <w:rFonts w:cstheme="minorHAnsi"/>
        </w:rPr>
        <w:t>Leachables</w:t>
      </w:r>
      <w:proofErr w:type="spellEnd"/>
      <w:r w:rsidRPr="00402F21">
        <w:rPr>
          <w:rFonts w:cstheme="minorHAnsi"/>
        </w:rPr>
        <w:t xml:space="preserve"> (E&amp;L) in Biopharmaceutical Packaging</w:t>
      </w:r>
    </w:p>
    <w:p w14:paraId="2EDDAA50" w14:textId="77777777" w:rsidR="00402F21" w:rsidRPr="00402F21" w:rsidRDefault="00402F21" w:rsidP="00402F21">
      <w:pPr>
        <w:numPr>
          <w:ilvl w:val="0"/>
          <w:numId w:val="36"/>
        </w:numPr>
        <w:contextualSpacing/>
        <w:rPr>
          <w:rFonts w:cstheme="minorHAnsi"/>
        </w:rPr>
      </w:pPr>
      <w:r w:rsidRPr="00402F21">
        <w:rPr>
          <w:rFonts w:cstheme="minorHAnsi"/>
        </w:rPr>
        <w:t>Analytical Approaches for Risk Assessment</w:t>
      </w:r>
    </w:p>
    <w:p w14:paraId="08DB8174" w14:textId="77777777" w:rsidR="00402F21" w:rsidRPr="00402F21" w:rsidRDefault="00402F21" w:rsidP="00402F21">
      <w:pPr>
        <w:contextualSpacing/>
        <w:rPr>
          <w:rFonts w:cstheme="minorHAnsi"/>
        </w:rPr>
      </w:pPr>
      <w:r w:rsidRPr="00402F21">
        <w:rPr>
          <w:rFonts w:cstheme="minorHAnsi"/>
        </w:rPr>
        <w:t>Adventitious Agent Testing in Biopharmaceuticals</w:t>
      </w:r>
    </w:p>
    <w:p w14:paraId="6801F011" w14:textId="77777777" w:rsidR="00402F21" w:rsidRPr="00402F21" w:rsidRDefault="00402F21" w:rsidP="00402F21">
      <w:pPr>
        <w:numPr>
          <w:ilvl w:val="0"/>
          <w:numId w:val="37"/>
        </w:numPr>
        <w:contextualSpacing/>
        <w:rPr>
          <w:rFonts w:cstheme="minorHAnsi"/>
        </w:rPr>
      </w:pPr>
      <w:r w:rsidRPr="00402F21">
        <w:rPr>
          <w:rFonts w:cstheme="minorHAnsi"/>
        </w:rPr>
        <w:t>Ensuring Safety from Viral and Microbial Contaminants</w:t>
      </w:r>
    </w:p>
    <w:p w14:paraId="2F87D2C5" w14:textId="77777777" w:rsidR="00F62E09" w:rsidRDefault="00F62E09" w:rsidP="00402F21">
      <w:pPr>
        <w:contextualSpacing/>
        <w:rPr>
          <w:rFonts w:cstheme="minorHAnsi"/>
        </w:rPr>
      </w:pPr>
    </w:p>
    <w:p w14:paraId="2D63AD78" w14:textId="078860A2" w:rsidR="00402F21" w:rsidRPr="00F62E09" w:rsidRDefault="00402F21" w:rsidP="00402F21">
      <w:pPr>
        <w:contextualSpacing/>
        <w:rPr>
          <w:rFonts w:cstheme="minorHAnsi"/>
          <w:b/>
          <w:bCs/>
        </w:rPr>
      </w:pPr>
      <w:r w:rsidRPr="00402F21">
        <w:rPr>
          <w:rFonts w:cstheme="minorHAnsi"/>
          <w:b/>
          <w:bCs/>
        </w:rPr>
        <w:t>Analysis and Characteri</w:t>
      </w:r>
      <w:r w:rsidR="00F62E09" w:rsidRPr="00F62E09">
        <w:rPr>
          <w:rFonts w:cstheme="minorHAnsi"/>
          <w:b/>
          <w:bCs/>
        </w:rPr>
        <w:t>s</w:t>
      </w:r>
      <w:r w:rsidRPr="00402F21">
        <w:rPr>
          <w:rFonts w:cstheme="minorHAnsi"/>
          <w:b/>
          <w:bCs/>
        </w:rPr>
        <w:t>ation</w:t>
      </w:r>
    </w:p>
    <w:p w14:paraId="2C21EB00" w14:textId="77777777" w:rsidR="00F62E09" w:rsidRPr="00402F21" w:rsidRDefault="00F62E09" w:rsidP="00402F21">
      <w:pPr>
        <w:contextualSpacing/>
        <w:rPr>
          <w:rFonts w:cstheme="minorHAnsi"/>
        </w:rPr>
      </w:pPr>
    </w:p>
    <w:p w14:paraId="6402A0A5" w14:textId="77777777" w:rsidR="00402F21" w:rsidRPr="00402F21" w:rsidRDefault="00402F21" w:rsidP="00402F21">
      <w:pPr>
        <w:contextualSpacing/>
        <w:rPr>
          <w:rFonts w:cstheme="minorHAnsi"/>
        </w:rPr>
      </w:pPr>
      <w:r w:rsidRPr="00402F21">
        <w:rPr>
          <w:rFonts w:cstheme="minorHAnsi"/>
        </w:rPr>
        <w:t>Glycosylation Analysis in Biopharmaceuticals</w:t>
      </w:r>
    </w:p>
    <w:p w14:paraId="53D9C1CB" w14:textId="77777777" w:rsidR="00402F21" w:rsidRPr="00402F21" w:rsidRDefault="00402F21" w:rsidP="00402F21">
      <w:pPr>
        <w:contextualSpacing/>
        <w:rPr>
          <w:rFonts w:cstheme="minorHAnsi"/>
        </w:rPr>
      </w:pPr>
      <w:r w:rsidRPr="00402F21">
        <w:rPr>
          <w:rFonts w:cstheme="minorHAnsi"/>
        </w:rPr>
        <w:t>Managing Host Cell Proteins (HCPs) in Biologic Drug Development</w:t>
      </w:r>
    </w:p>
    <w:p w14:paraId="63EC5924" w14:textId="77777777" w:rsidR="00402F21" w:rsidRPr="00402F21" w:rsidRDefault="00402F21" w:rsidP="00402F21">
      <w:pPr>
        <w:contextualSpacing/>
        <w:rPr>
          <w:rFonts w:cstheme="minorHAnsi"/>
        </w:rPr>
      </w:pPr>
      <w:r w:rsidRPr="00402F21">
        <w:rPr>
          <w:rFonts w:cstheme="minorHAnsi"/>
        </w:rPr>
        <w:t>Protein Purity &amp; Control – Ensuring Biologic Consistency</w:t>
      </w:r>
    </w:p>
    <w:p w14:paraId="7D24B675" w14:textId="77777777" w:rsidR="00402F21" w:rsidRPr="00402F21" w:rsidRDefault="00402F21" w:rsidP="00402F21">
      <w:pPr>
        <w:contextualSpacing/>
        <w:rPr>
          <w:rFonts w:cstheme="minorHAnsi"/>
        </w:rPr>
      </w:pPr>
      <w:r w:rsidRPr="00402F21">
        <w:rPr>
          <w:rFonts w:cstheme="minorHAnsi"/>
        </w:rPr>
        <w:lastRenderedPageBreak/>
        <w:t>Analytical Challenges in Biosimilar Development</w:t>
      </w:r>
    </w:p>
    <w:p w14:paraId="0478946D" w14:textId="77777777" w:rsidR="00402F21" w:rsidRDefault="00402F21" w:rsidP="00402F21">
      <w:pPr>
        <w:contextualSpacing/>
        <w:rPr>
          <w:rFonts w:cstheme="minorHAnsi"/>
        </w:rPr>
      </w:pPr>
      <w:r w:rsidRPr="00402F21">
        <w:rPr>
          <w:rFonts w:cstheme="minorHAnsi"/>
        </w:rPr>
        <w:t>Overview of Methods Used for Nucleotide Analysis</w:t>
      </w:r>
    </w:p>
    <w:p w14:paraId="45E8CAEF" w14:textId="77777777" w:rsidR="00F62E09" w:rsidRPr="00402F21" w:rsidRDefault="00F62E09" w:rsidP="00402F21">
      <w:pPr>
        <w:contextualSpacing/>
        <w:rPr>
          <w:rFonts w:cstheme="minorHAnsi"/>
        </w:rPr>
      </w:pPr>
    </w:p>
    <w:p w14:paraId="20E2DF0F" w14:textId="54F14329" w:rsidR="00402F21" w:rsidRPr="00F62E09" w:rsidRDefault="00402F21" w:rsidP="00402F21">
      <w:pPr>
        <w:contextualSpacing/>
        <w:rPr>
          <w:rFonts w:cstheme="minorHAnsi"/>
          <w:b/>
          <w:bCs/>
        </w:rPr>
      </w:pPr>
      <w:r w:rsidRPr="00402F21">
        <w:rPr>
          <w:rFonts w:cstheme="minorHAnsi"/>
          <w:b/>
          <w:bCs/>
        </w:rPr>
        <w:t>Digitali</w:t>
      </w:r>
      <w:r w:rsidR="00F62E09">
        <w:rPr>
          <w:rFonts w:cstheme="minorHAnsi"/>
          <w:b/>
          <w:bCs/>
        </w:rPr>
        <w:t>s</w:t>
      </w:r>
      <w:r w:rsidRPr="00402F21">
        <w:rPr>
          <w:rFonts w:cstheme="minorHAnsi"/>
          <w:b/>
          <w:bCs/>
        </w:rPr>
        <w:t>ation &amp; Informatics</w:t>
      </w:r>
    </w:p>
    <w:p w14:paraId="2B073DC2" w14:textId="77777777" w:rsidR="00F62E09" w:rsidRPr="00402F21" w:rsidRDefault="00F62E09" w:rsidP="00402F21">
      <w:pPr>
        <w:contextualSpacing/>
        <w:rPr>
          <w:rFonts w:cstheme="minorHAnsi"/>
        </w:rPr>
      </w:pPr>
    </w:p>
    <w:p w14:paraId="3A940489" w14:textId="77777777" w:rsidR="00402F21" w:rsidRPr="00402F21" w:rsidRDefault="00402F21" w:rsidP="00402F21">
      <w:pPr>
        <w:contextualSpacing/>
        <w:rPr>
          <w:rFonts w:cstheme="minorHAnsi"/>
        </w:rPr>
      </w:pPr>
      <w:r w:rsidRPr="00402F21">
        <w:rPr>
          <w:rFonts w:cstheme="minorHAnsi"/>
        </w:rPr>
        <w:t>Lab Automation in Analytical Testing</w:t>
      </w:r>
    </w:p>
    <w:p w14:paraId="5B7EDD8D" w14:textId="77777777" w:rsidR="00402F21" w:rsidRPr="00402F21" w:rsidRDefault="00402F21" w:rsidP="00402F21">
      <w:pPr>
        <w:numPr>
          <w:ilvl w:val="0"/>
          <w:numId w:val="38"/>
        </w:numPr>
        <w:contextualSpacing/>
        <w:rPr>
          <w:rFonts w:cstheme="minorHAnsi"/>
        </w:rPr>
      </w:pPr>
      <w:r w:rsidRPr="00402F21">
        <w:rPr>
          <w:rFonts w:cstheme="minorHAnsi"/>
        </w:rPr>
        <w:t>How Robotics and AI Are Enhancing QC Labs</w:t>
      </w:r>
    </w:p>
    <w:p w14:paraId="2D0645A3" w14:textId="77777777" w:rsidR="00402F21" w:rsidRPr="00402F21" w:rsidRDefault="00402F21" w:rsidP="00402F21">
      <w:pPr>
        <w:contextualSpacing/>
        <w:rPr>
          <w:rFonts w:cstheme="minorHAnsi"/>
        </w:rPr>
      </w:pPr>
      <w:r w:rsidRPr="00402F21">
        <w:rPr>
          <w:rFonts w:cstheme="minorHAnsi"/>
        </w:rPr>
        <w:t>The Future of AI in Analytical Method Development</w:t>
      </w:r>
    </w:p>
    <w:p w14:paraId="64AA48C4" w14:textId="46AA4F84" w:rsidR="00402F21" w:rsidRPr="00402F21" w:rsidRDefault="00402F21" w:rsidP="00402F21">
      <w:pPr>
        <w:numPr>
          <w:ilvl w:val="0"/>
          <w:numId w:val="39"/>
        </w:numPr>
        <w:contextualSpacing/>
        <w:rPr>
          <w:rFonts w:cstheme="minorHAnsi"/>
        </w:rPr>
      </w:pPr>
      <w:r w:rsidRPr="00402F21">
        <w:rPr>
          <w:rFonts w:cstheme="minorHAnsi"/>
        </w:rPr>
        <w:t>Predictive Model</w:t>
      </w:r>
      <w:r w:rsidR="00F62E09">
        <w:rPr>
          <w:rFonts w:cstheme="minorHAnsi"/>
        </w:rPr>
        <w:t>l</w:t>
      </w:r>
      <w:r w:rsidRPr="00402F21">
        <w:rPr>
          <w:rFonts w:cstheme="minorHAnsi"/>
        </w:rPr>
        <w:t>ing and Machine Learning in CMC Analytics</w:t>
      </w:r>
    </w:p>
    <w:p w14:paraId="73B67D23" w14:textId="77777777" w:rsidR="00402F21" w:rsidRPr="00402F21" w:rsidRDefault="00402F21" w:rsidP="00402F21">
      <w:pPr>
        <w:contextualSpacing/>
        <w:rPr>
          <w:rFonts w:cstheme="minorHAnsi"/>
        </w:rPr>
      </w:pPr>
      <w:r w:rsidRPr="00402F21">
        <w:rPr>
          <w:rFonts w:cstheme="minorHAnsi"/>
        </w:rPr>
        <w:t>Blockchain for Data Integrity in Pharma</w:t>
      </w:r>
    </w:p>
    <w:p w14:paraId="3AEBA42C" w14:textId="77777777" w:rsidR="00402F21" w:rsidRPr="00402F21" w:rsidRDefault="00402F21" w:rsidP="00402F21">
      <w:pPr>
        <w:numPr>
          <w:ilvl w:val="0"/>
          <w:numId w:val="42"/>
        </w:numPr>
        <w:contextualSpacing/>
        <w:rPr>
          <w:rFonts w:cstheme="minorHAnsi"/>
        </w:rPr>
      </w:pPr>
      <w:r w:rsidRPr="00402F21">
        <w:rPr>
          <w:rFonts w:cstheme="minorHAnsi"/>
        </w:rPr>
        <w:t>Could Distributed Ledgers Solve Compliance Challenges?</w:t>
      </w:r>
    </w:p>
    <w:p w14:paraId="7D05FA95" w14:textId="77777777" w:rsidR="00402F21" w:rsidRPr="00402F21" w:rsidRDefault="00402F21" w:rsidP="00402F21">
      <w:pPr>
        <w:contextualSpacing/>
        <w:rPr>
          <w:rFonts w:cstheme="minorHAnsi"/>
        </w:rPr>
      </w:pPr>
      <w:r w:rsidRPr="00402F21">
        <w:rPr>
          <w:rFonts w:cstheme="minorHAnsi"/>
        </w:rPr>
        <w:t>The Role of Digital Tools in Analytical Method Development</w:t>
      </w:r>
    </w:p>
    <w:p w14:paraId="696B14B9" w14:textId="77777777" w:rsidR="00402F21" w:rsidRPr="00402F21" w:rsidRDefault="00402F21" w:rsidP="00402F21">
      <w:pPr>
        <w:contextualSpacing/>
        <w:rPr>
          <w:rFonts w:cstheme="minorHAnsi"/>
        </w:rPr>
      </w:pPr>
      <w:r w:rsidRPr="00402F21">
        <w:rPr>
          <w:rFonts w:cstheme="minorHAnsi"/>
        </w:rPr>
        <w:t>Leveraging AI &amp; Machine Learning in QC and Biopharmaceutical Analysis</w:t>
      </w:r>
    </w:p>
    <w:p w14:paraId="182616A7" w14:textId="04D86AA0" w:rsidR="000F3B19" w:rsidRDefault="00402F21" w:rsidP="00ED3514">
      <w:pPr>
        <w:contextualSpacing/>
        <w:rPr>
          <w:rFonts w:cstheme="minorHAnsi"/>
        </w:rPr>
      </w:pPr>
      <w:r w:rsidRPr="00402F21">
        <w:rPr>
          <w:rFonts w:cstheme="minorHAnsi"/>
        </w:rPr>
        <w:t>Data Integrity &amp; Compliance in Analytical Laboratories</w:t>
      </w:r>
    </w:p>
    <w:sectPr w:rsidR="000F3B19" w:rsidSect="0028746D">
      <w:headerReference w:type="default" r:id="rId13"/>
      <w:pgSz w:w="11906" w:h="16838"/>
      <w:pgMar w:top="873" w:right="1440" w:bottom="87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F641" w14:textId="77777777" w:rsidR="00332E04" w:rsidRDefault="00332E04" w:rsidP="004373B9">
      <w:pPr>
        <w:spacing w:after="0" w:line="240" w:lineRule="auto"/>
      </w:pPr>
      <w:r>
        <w:separator/>
      </w:r>
    </w:p>
  </w:endnote>
  <w:endnote w:type="continuationSeparator" w:id="0">
    <w:p w14:paraId="0A48413B" w14:textId="77777777" w:rsidR="00332E04" w:rsidRDefault="00332E04" w:rsidP="00437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69221" w14:textId="77777777" w:rsidR="00332E04" w:rsidRDefault="00332E04" w:rsidP="004373B9">
      <w:pPr>
        <w:spacing w:after="0" w:line="240" w:lineRule="auto"/>
      </w:pPr>
      <w:r>
        <w:separator/>
      </w:r>
    </w:p>
  </w:footnote>
  <w:footnote w:type="continuationSeparator" w:id="0">
    <w:p w14:paraId="6BCB47A2" w14:textId="77777777" w:rsidR="00332E04" w:rsidRDefault="00332E04" w:rsidP="00437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38A8" w14:textId="12F91B04" w:rsidR="00A424A5" w:rsidRDefault="00867C63" w:rsidP="004373B9">
    <w:pPr>
      <w:pStyle w:val="Header"/>
      <w:jc w:val="center"/>
      <w:rPr>
        <w:lang w:val="en-US"/>
      </w:rPr>
    </w:pPr>
    <w:r>
      <w:rPr>
        <w:noProof/>
        <w:lang w:val="en-US"/>
      </w:rPr>
      <w:drawing>
        <wp:inline distT="0" distB="0" distL="0" distR="0" wp14:anchorId="798E16FB" wp14:editId="19437738">
          <wp:extent cx="1261852" cy="612000"/>
          <wp:effectExtent l="0" t="0" r="0" b="0"/>
          <wp:docPr id="370475527" name="Picture 1" descr="A green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75527" name="Picture 1" descr="A green and purple text&#10;&#10;Description automatically generated"/>
                  <pic:cNvPicPr/>
                </pic:nvPicPr>
                <pic:blipFill>
                  <a:blip r:embed="rId1"/>
                  <a:stretch>
                    <a:fillRect/>
                  </a:stretch>
                </pic:blipFill>
                <pic:spPr>
                  <a:xfrm>
                    <a:off x="0" y="0"/>
                    <a:ext cx="1261852" cy="612000"/>
                  </a:xfrm>
                  <a:prstGeom prst="rect">
                    <a:avLst/>
                  </a:prstGeom>
                </pic:spPr>
              </pic:pic>
            </a:graphicData>
          </a:graphic>
        </wp:inline>
      </w:drawing>
    </w:r>
  </w:p>
  <w:p w14:paraId="21C44CDD" w14:textId="77777777" w:rsidR="00FA3CA6" w:rsidRPr="00867C63" w:rsidRDefault="00FA3CA6" w:rsidP="00BD539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9D2FBAC"/>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A2062B"/>
    <w:multiLevelType w:val="hybridMultilevel"/>
    <w:tmpl w:val="B7B2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2D2C46"/>
    <w:multiLevelType w:val="multilevel"/>
    <w:tmpl w:val="0A6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01477B"/>
    <w:multiLevelType w:val="multilevel"/>
    <w:tmpl w:val="FE56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E7295B"/>
    <w:multiLevelType w:val="hybridMultilevel"/>
    <w:tmpl w:val="64F0C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20592A"/>
    <w:multiLevelType w:val="hybridMultilevel"/>
    <w:tmpl w:val="C882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B075C"/>
    <w:multiLevelType w:val="hybridMultilevel"/>
    <w:tmpl w:val="FEAC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75065"/>
    <w:multiLevelType w:val="hybridMultilevel"/>
    <w:tmpl w:val="D096B3DC"/>
    <w:lvl w:ilvl="0" w:tplc="08090001">
      <w:start w:val="1"/>
      <w:numFmt w:val="bullet"/>
      <w:lvlText w:val=""/>
      <w:lvlJc w:val="left"/>
      <w:pPr>
        <w:ind w:left="360" w:hanging="360"/>
      </w:pPr>
      <w:rPr>
        <w:rFonts w:ascii="Symbol" w:hAnsi="Symbol" w:hint="default"/>
        <w:b w:val="0"/>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A77054E"/>
    <w:multiLevelType w:val="hybridMultilevel"/>
    <w:tmpl w:val="5AB8C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C03469B"/>
    <w:multiLevelType w:val="hybridMultilevel"/>
    <w:tmpl w:val="C790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B7604"/>
    <w:multiLevelType w:val="hybridMultilevel"/>
    <w:tmpl w:val="4434EDEE"/>
    <w:lvl w:ilvl="0" w:tplc="08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45A47A9"/>
    <w:multiLevelType w:val="hybridMultilevel"/>
    <w:tmpl w:val="C3FC3F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4EB773F"/>
    <w:multiLevelType w:val="multilevel"/>
    <w:tmpl w:val="0A6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826ECD"/>
    <w:multiLevelType w:val="hybridMultilevel"/>
    <w:tmpl w:val="E636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831FFB"/>
    <w:multiLevelType w:val="multilevel"/>
    <w:tmpl w:val="F63AA2D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6862DB"/>
    <w:multiLevelType w:val="hybridMultilevel"/>
    <w:tmpl w:val="7E0CF77C"/>
    <w:lvl w:ilvl="0" w:tplc="E77066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655B5C"/>
    <w:multiLevelType w:val="hybridMultilevel"/>
    <w:tmpl w:val="67B4E598"/>
    <w:lvl w:ilvl="0" w:tplc="7B40DF24">
      <w:start w:val="1"/>
      <w:numFmt w:val="decimal"/>
      <w:lvlText w:val="%1."/>
      <w:lvlJc w:val="left"/>
      <w:pPr>
        <w:ind w:left="360" w:hanging="360"/>
      </w:pPr>
      <w:rPr>
        <w:rFonts w:cs="Times New Roman" w:hint="default"/>
        <w:b w:val="0"/>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3B8A6729"/>
    <w:multiLevelType w:val="multilevel"/>
    <w:tmpl w:val="D010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B3BC9"/>
    <w:multiLevelType w:val="hybridMultilevel"/>
    <w:tmpl w:val="A6D24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23A7C0B"/>
    <w:multiLevelType w:val="multilevel"/>
    <w:tmpl w:val="28CA4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41C203A"/>
    <w:multiLevelType w:val="hybridMultilevel"/>
    <w:tmpl w:val="FBEE892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707217B"/>
    <w:multiLevelType w:val="multilevel"/>
    <w:tmpl w:val="4E50B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7595BD3"/>
    <w:multiLevelType w:val="multilevel"/>
    <w:tmpl w:val="F27C3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E3B6D3E"/>
    <w:multiLevelType w:val="hybridMultilevel"/>
    <w:tmpl w:val="78CC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2D201C"/>
    <w:multiLevelType w:val="hybridMultilevel"/>
    <w:tmpl w:val="94446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6A00C4"/>
    <w:multiLevelType w:val="multilevel"/>
    <w:tmpl w:val="F63AA2D4"/>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libri" w:eastAsiaTheme="minorHAnsi" w:hAnsi="Calibri" w:cs="Calibri"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60E74FCF"/>
    <w:multiLevelType w:val="hybridMultilevel"/>
    <w:tmpl w:val="FADE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F14656"/>
    <w:multiLevelType w:val="hybridMultilevel"/>
    <w:tmpl w:val="492A3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D2839"/>
    <w:multiLevelType w:val="hybridMultilevel"/>
    <w:tmpl w:val="B144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53538E"/>
    <w:multiLevelType w:val="hybridMultilevel"/>
    <w:tmpl w:val="5142A0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E366D22"/>
    <w:multiLevelType w:val="multilevel"/>
    <w:tmpl w:val="FA6CAC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774C02A0"/>
    <w:multiLevelType w:val="multilevel"/>
    <w:tmpl w:val="0A641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133378"/>
    <w:multiLevelType w:val="hybridMultilevel"/>
    <w:tmpl w:val="8C121B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EAC550D"/>
    <w:multiLevelType w:val="hybridMultilevel"/>
    <w:tmpl w:val="52CCD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F8F60A6"/>
    <w:multiLevelType w:val="hybridMultilevel"/>
    <w:tmpl w:val="3C0AA0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14617382">
    <w:abstractNumId w:val="8"/>
  </w:num>
  <w:num w:numId="2" w16cid:durableId="1777171596">
    <w:abstractNumId w:val="13"/>
  </w:num>
  <w:num w:numId="3" w16cid:durableId="1406027942">
    <w:abstractNumId w:val="16"/>
  </w:num>
  <w:num w:numId="4" w16cid:durableId="1015302152">
    <w:abstractNumId w:val="12"/>
  </w:num>
  <w:num w:numId="5" w16cid:durableId="1495877473">
    <w:abstractNumId w:val="23"/>
  </w:num>
  <w:num w:numId="6" w16cid:durableId="112217894">
    <w:abstractNumId w:val="14"/>
  </w:num>
  <w:num w:numId="7" w16cid:durableId="1126774522">
    <w:abstractNumId w:val="31"/>
  </w:num>
  <w:num w:numId="8" w16cid:durableId="1299605518">
    <w:abstractNumId w:val="11"/>
  </w:num>
  <w:num w:numId="9" w16cid:durableId="1874614099">
    <w:abstractNumId w:val="36"/>
  </w:num>
  <w:num w:numId="10" w16cid:durableId="70546237">
    <w:abstractNumId w:val="18"/>
  </w:num>
  <w:num w:numId="11" w16cid:durableId="467746949">
    <w:abstractNumId w:val="41"/>
  </w:num>
  <w:num w:numId="12" w16cid:durableId="747387603">
    <w:abstractNumId w:val="15"/>
  </w:num>
  <w:num w:numId="13" w16cid:durableId="1774132190">
    <w:abstractNumId w:val="34"/>
  </w:num>
  <w:num w:numId="14" w16cid:durableId="1082022108">
    <w:abstractNumId w:val="40"/>
  </w:num>
  <w:num w:numId="15" w16cid:durableId="1786385329">
    <w:abstractNumId w:val="37"/>
  </w:num>
  <w:num w:numId="16" w16cid:durableId="169372940">
    <w:abstractNumId w:val="25"/>
  </w:num>
  <w:num w:numId="17" w16cid:durableId="2045403490">
    <w:abstractNumId w:val="20"/>
  </w:num>
  <w:num w:numId="18" w16cid:durableId="1100681488">
    <w:abstractNumId w:val="30"/>
  </w:num>
  <w:num w:numId="19" w16cid:durableId="1034580270">
    <w:abstractNumId w:val="27"/>
  </w:num>
  <w:num w:numId="20" w16cid:durableId="18967985">
    <w:abstractNumId w:val="39"/>
  </w:num>
  <w:num w:numId="21" w16cid:durableId="231430077">
    <w:abstractNumId w:val="28"/>
  </w:num>
  <w:num w:numId="22" w16cid:durableId="1588881536">
    <w:abstractNumId w:val="29"/>
  </w:num>
  <w:num w:numId="23" w16cid:durableId="670722065">
    <w:abstractNumId w:val="26"/>
  </w:num>
  <w:num w:numId="24" w16cid:durableId="24990538">
    <w:abstractNumId w:val="22"/>
  </w:num>
  <w:num w:numId="25" w16cid:durableId="1196504149">
    <w:abstractNumId w:val="33"/>
  </w:num>
  <w:num w:numId="26" w16cid:durableId="1035886720">
    <w:abstractNumId w:val="35"/>
  </w:num>
  <w:num w:numId="27" w16cid:durableId="1375692988">
    <w:abstractNumId w:val="19"/>
  </w:num>
  <w:num w:numId="28" w16cid:durableId="1955361140">
    <w:abstractNumId w:val="10"/>
  </w:num>
  <w:num w:numId="29" w16cid:durableId="591861193">
    <w:abstractNumId w:val="24"/>
  </w:num>
  <w:num w:numId="30" w16cid:durableId="243222288">
    <w:abstractNumId w:val="9"/>
  </w:num>
  <w:num w:numId="31" w16cid:durableId="810942796">
    <w:abstractNumId w:val="38"/>
  </w:num>
  <w:num w:numId="32" w16cid:durableId="620497376">
    <w:abstractNumId w:val="21"/>
  </w:num>
  <w:num w:numId="33" w16cid:durableId="902175849">
    <w:abstractNumId w:val="0"/>
  </w:num>
  <w:num w:numId="34" w16cid:durableId="630524612">
    <w:abstractNumId w:val="1"/>
  </w:num>
  <w:num w:numId="35" w16cid:durableId="721830566">
    <w:abstractNumId w:val="2"/>
  </w:num>
  <w:num w:numId="36" w16cid:durableId="755173449">
    <w:abstractNumId w:val="3"/>
  </w:num>
  <w:num w:numId="37" w16cid:durableId="2109691554">
    <w:abstractNumId w:val="4"/>
  </w:num>
  <w:num w:numId="38" w16cid:durableId="1157305477">
    <w:abstractNumId w:val="5"/>
  </w:num>
  <w:num w:numId="39" w16cid:durableId="2039816185">
    <w:abstractNumId w:val="6"/>
  </w:num>
  <w:num w:numId="40" w16cid:durableId="1561162688">
    <w:abstractNumId w:val="32"/>
  </w:num>
  <w:num w:numId="41" w16cid:durableId="1130562136">
    <w:abstractNumId w:val="17"/>
  </w:num>
  <w:num w:numId="42" w16cid:durableId="2011523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46D"/>
    <w:rsid w:val="00006183"/>
    <w:rsid w:val="00006F2F"/>
    <w:rsid w:val="0002169D"/>
    <w:rsid w:val="00024A96"/>
    <w:rsid w:val="00045185"/>
    <w:rsid w:val="00051EF2"/>
    <w:rsid w:val="00056787"/>
    <w:rsid w:val="000750C7"/>
    <w:rsid w:val="0007608E"/>
    <w:rsid w:val="00080EB0"/>
    <w:rsid w:val="00081A3D"/>
    <w:rsid w:val="00081FBB"/>
    <w:rsid w:val="00083547"/>
    <w:rsid w:val="00086BA7"/>
    <w:rsid w:val="00087737"/>
    <w:rsid w:val="000955AE"/>
    <w:rsid w:val="000A20F3"/>
    <w:rsid w:val="000A4664"/>
    <w:rsid w:val="000A4F6E"/>
    <w:rsid w:val="000B1B40"/>
    <w:rsid w:val="000B4E9E"/>
    <w:rsid w:val="000C465C"/>
    <w:rsid w:val="000C4FF5"/>
    <w:rsid w:val="000D3AC1"/>
    <w:rsid w:val="000D6CEA"/>
    <w:rsid w:val="000E231A"/>
    <w:rsid w:val="000E4C74"/>
    <w:rsid w:val="000F111C"/>
    <w:rsid w:val="000F3B19"/>
    <w:rsid w:val="000F4626"/>
    <w:rsid w:val="0010308C"/>
    <w:rsid w:val="0010480F"/>
    <w:rsid w:val="00110069"/>
    <w:rsid w:val="001111AF"/>
    <w:rsid w:val="00131849"/>
    <w:rsid w:val="00143CE5"/>
    <w:rsid w:val="00155738"/>
    <w:rsid w:val="001723D1"/>
    <w:rsid w:val="00180936"/>
    <w:rsid w:val="001A2476"/>
    <w:rsid w:val="001A480D"/>
    <w:rsid w:val="001B20DA"/>
    <w:rsid w:val="001C1F66"/>
    <w:rsid w:val="001C441A"/>
    <w:rsid w:val="001D1B1E"/>
    <w:rsid w:val="001D209B"/>
    <w:rsid w:val="001E0F22"/>
    <w:rsid w:val="001E132B"/>
    <w:rsid w:val="001E5CDD"/>
    <w:rsid w:val="001F1294"/>
    <w:rsid w:val="001F2E96"/>
    <w:rsid w:val="00211D19"/>
    <w:rsid w:val="00212A02"/>
    <w:rsid w:val="00214477"/>
    <w:rsid w:val="00215678"/>
    <w:rsid w:val="00223486"/>
    <w:rsid w:val="0024765C"/>
    <w:rsid w:val="00250670"/>
    <w:rsid w:val="00252D3A"/>
    <w:rsid w:val="002551B3"/>
    <w:rsid w:val="0028746D"/>
    <w:rsid w:val="00290D24"/>
    <w:rsid w:val="00292F57"/>
    <w:rsid w:val="002A681F"/>
    <w:rsid w:val="002B130D"/>
    <w:rsid w:val="002C4082"/>
    <w:rsid w:val="002F053F"/>
    <w:rsid w:val="002F1CF9"/>
    <w:rsid w:val="002F5C0F"/>
    <w:rsid w:val="00300ED7"/>
    <w:rsid w:val="00314967"/>
    <w:rsid w:val="00315745"/>
    <w:rsid w:val="00322C69"/>
    <w:rsid w:val="003238DA"/>
    <w:rsid w:val="00324E29"/>
    <w:rsid w:val="00332E04"/>
    <w:rsid w:val="00333137"/>
    <w:rsid w:val="00341081"/>
    <w:rsid w:val="00345163"/>
    <w:rsid w:val="00351CC3"/>
    <w:rsid w:val="00364355"/>
    <w:rsid w:val="00372188"/>
    <w:rsid w:val="00374742"/>
    <w:rsid w:val="003776D5"/>
    <w:rsid w:val="003778D1"/>
    <w:rsid w:val="00387A93"/>
    <w:rsid w:val="00387E94"/>
    <w:rsid w:val="003A2C67"/>
    <w:rsid w:val="003A5781"/>
    <w:rsid w:val="003A6E1E"/>
    <w:rsid w:val="003C6FD1"/>
    <w:rsid w:val="003E0DD4"/>
    <w:rsid w:val="003E6BF9"/>
    <w:rsid w:val="003E7E1E"/>
    <w:rsid w:val="003F1BB2"/>
    <w:rsid w:val="003F7228"/>
    <w:rsid w:val="00402F21"/>
    <w:rsid w:val="00404261"/>
    <w:rsid w:val="00412DC7"/>
    <w:rsid w:val="00414B92"/>
    <w:rsid w:val="00420862"/>
    <w:rsid w:val="004373B9"/>
    <w:rsid w:val="0044405B"/>
    <w:rsid w:val="0044738F"/>
    <w:rsid w:val="00447FBC"/>
    <w:rsid w:val="004540D6"/>
    <w:rsid w:val="004569E4"/>
    <w:rsid w:val="00470732"/>
    <w:rsid w:val="00472062"/>
    <w:rsid w:val="00473022"/>
    <w:rsid w:val="004742B8"/>
    <w:rsid w:val="00475511"/>
    <w:rsid w:val="004A6315"/>
    <w:rsid w:val="004B0FF5"/>
    <w:rsid w:val="004B2D61"/>
    <w:rsid w:val="004B5C05"/>
    <w:rsid w:val="004C6865"/>
    <w:rsid w:val="004C7D95"/>
    <w:rsid w:val="004D0DF6"/>
    <w:rsid w:val="004D57C8"/>
    <w:rsid w:val="004F2A95"/>
    <w:rsid w:val="004F4974"/>
    <w:rsid w:val="004F6FF3"/>
    <w:rsid w:val="004F7C11"/>
    <w:rsid w:val="00506E8E"/>
    <w:rsid w:val="005110FB"/>
    <w:rsid w:val="00514859"/>
    <w:rsid w:val="00515833"/>
    <w:rsid w:val="005223F9"/>
    <w:rsid w:val="00532176"/>
    <w:rsid w:val="00532B2E"/>
    <w:rsid w:val="00534A36"/>
    <w:rsid w:val="00535820"/>
    <w:rsid w:val="005414F6"/>
    <w:rsid w:val="00551032"/>
    <w:rsid w:val="00552539"/>
    <w:rsid w:val="00573CA6"/>
    <w:rsid w:val="00580F8A"/>
    <w:rsid w:val="00581225"/>
    <w:rsid w:val="00590BF9"/>
    <w:rsid w:val="005A1490"/>
    <w:rsid w:val="005A4928"/>
    <w:rsid w:val="005B55C3"/>
    <w:rsid w:val="005D1CA9"/>
    <w:rsid w:val="005D1F39"/>
    <w:rsid w:val="005F198F"/>
    <w:rsid w:val="005F4032"/>
    <w:rsid w:val="006114A1"/>
    <w:rsid w:val="00617D9A"/>
    <w:rsid w:val="006377B4"/>
    <w:rsid w:val="00645303"/>
    <w:rsid w:val="00650046"/>
    <w:rsid w:val="00657EFD"/>
    <w:rsid w:val="00660CA6"/>
    <w:rsid w:val="00660CD5"/>
    <w:rsid w:val="006638DF"/>
    <w:rsid w:val="00664C0E"/>
    <w:rsid w:val="00673935"/>
    <w:rsid w:val="00685D9F"/>
    <w:rsid w:val="00692ED7"/>
    <w:rsid w:val="006935F4"/>
    <w:rsid w:val="006A0E57"/>
    <w:rsid w:val="006A4398"/>
    <w:rsid w:val="006A7F0D"/>
    <w:rsid w:val="006B12D1"/>
    <w:rsid w:val="006C1112"/>
    <w:rsid w:val="006C2AC7"/>
    <w:rsid w:val="006C7518"/>
    <w:rsid w:val="006D5195"/>
    <w:rsid w:val="006F03D3"/>
    <w:rsid w:val="006F3A86"/>
    <w:rsid w:val="006F4076"/>
    <w:rsid w:val="006F4C79"/>
    <w:rsid w:val="00702A4E"/>
    <w:rsid w:val="0071602C"/>
    <w:rsid w:val="00722A50"/>
    <w:rsid w:val="007248AC"/>
    <w:rsid w:val="00735AB3"/>
    <w:rsid w:val="00741865"/>
    <w:rsid w:val="00741892"/>
    <w:rsid w:val="00743F4E"/>
    <w:rsid w:val="00745AFC"/>
    <w:rsid w:val="00760690"/>
    <w:rsid w:val="00771B78"/>
    <w:rsid w:val="00784A4F"/>
    <w:rsid w:val="00790C5F"/>
    <w:rsid w:val="00793A90"/>
    <w:rsid w:val="007A700B"/>
    <w:rsid w:val="007B7D0B"/>
    <w:rsid w:val="007D12F0"/>
    <w:rsid w:val="007D380E"/>
    <w:rsid w:val="007F4B4A"/>
    <w:rsid w:val="007F53C9"/>
    <w:rsid w:val="00804048"/>
    <w:rsid w:val="00804948"/>
    <w:rsid w:val="00804AA6"/>
    <w:rsid w:val="00810C83"/>
    <w:rsid w:val="00811B4F"/>
    <w:rsid w:val="00824460"/>
    <w:rsid w:val="00832D5B"/>
    <w:rsid w:val="008428FF"/>
    <w:rsid w:val="00865575"/>
    <w:rsid w:val="00867C63"/>
    <w:rsid w:val="00870EA2"/>
    <w:rsid w:val="008863A9"/>
    <w:rsid w:val="008920B5"/>
    <w:rsid w:val="0089262E"/>
    <w:rsid w:val="00895F35"/>
    <w:rsid w:val="008B249B"/>
    <w:rsid w:val="008B7592"/>
    <w:rsid w:val="008C15F7"/>
    <w:rsid w:val="008C4730"/>
    <w:rsid w:val="008D0D5D"/>
    <w:rsid w:val="008D36FC"/>
    <w:rsid w:val="008D3BFB"/>
    <w:rsid w:val="008D4E17"/>
    <w:rsid w:val="008D7338"/>
    <w:rsid w:val="008E5A32"/>
    <w:rsid w:val="0090141E"/>
    <w:rsid w:val="0090354B"/>
    <w:rsid w:val="009053F6"/>
    <w:rsid w:val="00923A89"/>
    <w:rsid w:val="0093272D"/>
    <w:rsid w:val="00935B68"/>
    <w:rsid w:val="00937823"/>
    <w:rsid w:val="00942F1A"/>
    <w:rsid w:val="00944387"/>
    <w:rsid w:val="00951EDF"/>
    <w:rsid w:val="009557F3"/>
    <w:rsid w:val="009576C7"/>
    <w:rsid w:val="00974A54"/>
    <w:rsid w:val="009754E3"/>
    <w:rsid w:val="00983F7A"/>
    <w:rsid w:val="00992D4F"/>
    <w:rsid w:val="009A5E8C"/>
    <w:rsid w:val="009A6467"/>
    <w:rsid w:val="009B054A"/>
    <w:rsid w:val="009B2B11"/>
    <w:rsid w:val="009B6182"/>
    <w:rsid w:val="009C4E73"/>
    <w:rsid w:val="009C5233"/>
    <w:rsid w:val="009F40BB"/>
    <w:rsid w:val="00A30CBD"/>
    <w:rsid w:val="00A424A5"/>
    <w:rsid w:val="00A470FC"/>
    <w:rsid w:val="00A6081C"/>
    <w:rsid w:val="00A67E70"/>
    <w:rsid w:val="00A71F8F"/>
    <w:rsid w:val="00AB2492"/>
    <w:rsid w:val="00AD32FE"/>
    <w:rsid w:val="00AF5001"/>
    <w:rsid w:val="00B0624E"/>
    <w:rsid w:val="00B06720"/>
    <w:rsid w:val="00B17E84"/>
    <w:rsid w:val="00B20970"/>
    <w:rsid w:val="00B23257"/>
    <w:rsid w:val="00B25098"/>
    <w:rsid w:val="00B255F2"/>
    <w:rsid w:val="00B27EB0"/>
    <w:rsid w:val="00B3141A"/>
    <w:rsid w:val="00B378CA"/>
    <w:rsid w:val="00B5711C"/>
    <w:rsid w:val="00B73672"/>
    <w:rsid w:val="00B8005A"/>
    <w:rsid w:val="00B9454A"/>
    <w:rsid w:val="00BA13FB"/>
    <w:rsid w:val="00BB4494"/>
    <w:rsid w:val="00BB6D04"/>
    <w:rsid w:val="00BB7865"/>
    <w:rsid w:val="00BC4425"/>
    <w:rsid w:val="00BD052E"/>
    <w:rsid w:val="00BD0859"/>
    <w:rsid w:val="00BD539D"/>
    <w:rsid w:val="00BD6BF7"/>
    <w:rsid w:val="00BE0D94"/>
    <w:rsid w:val="00BF39E5"/>
    <w:rsid w:val="00C00C96"/>
    <w:rsid w:val="00C00FCA"/>
    <w:rsid w:val="00C014CB"/>
    <w:rsid w:val="00C01C64"/>
    <w:rsid w:val="00C17AFE"/>
    <w:rsid w:val="00C272AC"/>
    <w:rsid w:val="00C30A21"/>
    <w:rsid w:val="00C30E8A"/>
    <w:rsid w:val="00C41798"/>
    <w:rsid w:val="00C417B4"/>
    <w:rsid w:val="00C47F34"/>
    <w:rsid w:val="00C53E5A"/>
    <w:rsid w:val="00C57494"/>
    <w:rsid w:val="00C600E7"/>
    <w:rsid w:val="00C61875"/>
    <w:rsid w:val="00C624C1"/>
    <w:rsid w:val="00C62E94"/>
    <w:rsid w:val="00C6304D"/>
    <w:rsid w:val="00C636DB"/>
    <w:rsid w:val="00C66BA4"/>
    <w:rsid w:val="00C74E39"/>
    <w:rsid w:val="00C8332C"/>
    <w:rsid w:val="00C92F12"/>
    <w:rsid w:val="00CA1472"/>
    <w:rsid w:val="00CB1938"/>
    <w:rsid w:val="00CB239E"/>
    <w:rsid w:val="00CC34CF"/>
    <w:rsid w:val="00CC4BAF"/>
    <w:rsid w:val="00CC4FC7"/>
    <w:rsid w:val="00CD3D13"/>
    <w:rsid w:val="00CE0918"/>
    <w:rsid w:val="00CE3772"/>
    <w:rsid w:val="00CF08E6"/>
    <w:rsid w:val="00CF1A34"/>
    <w:rsid w:val="00D201F7"/>
    <w:rsid w:val="00D2077C"/>
    <w:rsid w:val="00D425C7"/>
    <w:rsid w:val="00D4575F"/>
    <w:rsid w:val="00D618FD"/>
    <w:rsid w:val="00D77569"/>
    <w:rsid w:val="00D85681"/>
    <w:rsid w:val="00DA3F61"/>
    <w:rsid w:val="00DA5717"/>
    <w:rsid w:val="00DC0D6D"/>
    <w:rsid w:val="00DC4E99"/>
    <w:rsid w:val="00DE4753"/>
    <w:rsid w:val="00DF1E3B"/>
    <w:rsid w:val="00DF335F"/>
    <w:rsid w:val="00DF4234"/>
    <w:rsid w:val="00DF4F4C"/>
    <w:rsid w:val="00DF5BDC"/>
    <w:rsid w:val="00E00EEA"/>
    <w:rsid w:val="00E01285"/>
    <w:rsid w:val="00E02CE7"/>
    <w:rsid w:val="00E07EBD"/>
    <w:rsid w:val="00E14194"/>
    <w:rsid w:val="00E168AB"/>
    <w:rsid w:val="00E25597"/>
    <w:rsid w:val="00E37583"/>
    <w:rsid w:val="00E42CF5"/>
    <w:rsid w:val="00E56BE9"/>
    <w:rsid w:val="00E6263D"/>
    <w:rsid w:val="00E62E47"/>
    <w:rsid w:val="00E630B9"/>
    <w:rsid w:val="00E63381"/>
    <w:rsid w:val="00E66F61"/>
    <w:rsid w:val="00E8050C"/>
    <w:rsid w:val="00E82928"/>
    <w:rsid w:val="00E856C3"/>
    <w:rsid w:val="00E914DA"/>
    <w:rsid w:val="00EA3CC5"/>
    <w:rsid w:val="00EA6E4C"/>
    <w:rsid w:val="00ED3514"/>
    <w:rsid w:val="00ED3B55"/>
    <w:rsid w:val="00EE69E2"/>
    <w:rsid w:val="00EF378A"/>
    <w:rsid w:val="00EF4D09"/>
    <w:rsid w:val="00F05DB6"/>
    <w:rsid w:val="00F209DD"/>
    <w:rsid w:val="00F22A4C"/>
    <w:rsid w:val="00F2636C"/>
    <w:rsid w:val="00F37FDD"/>
    <w:rsid w:val="00F42D3D"/>
    <w:rsid w:val="00F42FD8"/>
    <w:rsid w:val="00F51E96"/>
    <w:rsid w:val="00F6247B"/>
    <w:rsid w:val="00F62E09"/>
    <w:rsid w:val="00F66690"/>
    <w:rsid w:val="00F955B7"/>
    <w:rsid w:val="00FA3BBD"/>
    <w:rsid w:val="00FA3CA6"/>
    <w:rsid w:val="00FA4B40"/>
    <w:rsid w:val="00FB194A"/>
    <w:rsid w:val="00FB49C1"/>
    <w:rsid w:val="00FC14B9"/>
    <w:rsid w:val="00FD2ACB"/>
    <w:rsid w:val="00FE7DB6"/>
    <w:rsid w:val="00FF76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6AAB07"/>
  <w15:docId w15:val="{C8292558-E42C-4AA6-AFD7-1DF34BA0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195"/>
  </w:style>
  <w:style w:type="paragraph" w:styleId="Heading1">
    <w:name w:val="heading 1"/>
    <w:basedOn w:val="Normal"/>
    <w:next w:val="Normal"/>
    <w:link w:val="Heading1Char"/>
    <w:uiPriority w:val="9"/>
    <w:qFormat/>
    <w:rsid w:val="002144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D539D"/>
    <w:pPr>
      <w:keepNext/>
      <w:keepLines/>
      <w:spacing w:before="360" w:after="120"/>
      <w:outlineLvl w:val="1"/>
    </w:pPr>
    <w:rPr>
      <w:rFonts w:ascii="Arial" w:eastAsia="Arial" w:hAnsi="Arial" w:cs="Arial"/>
      <w:sz w:val="32"/>
      <w:szCs w:val="32"/>
      <w:lang w:eastAsia="en-GB"/>
    </w:rPr>
  </w:style>
  <w:style w:type="paragraph" w:styleId="Heading3">
    <w:name w:val="heading 3"/>
    <w:basedOn w:val="Normal"/>
    <w:next w:val="Normal"/>
    <w:link w:val="Heading3Char"/>
    <w:uiPriority w:val="9"/>
    <w:unhideWhenUsed/>
    <w:qFormat/>
    <w:rsid w:val="00BD539D"/>
    <w:pPr>
      <w:keepNext/>
      <w:keepLines/>
      <w:spacing w:before="320" w:after="80"/>
      <w:outlineLvl w:val="2"/>
    </w:pPr>
    <w:rPr>
      <w:rFonts w:ascii="Arial" w:eastAsia="Arial" w:hAnsi="Arial" w:cs="Arial"/>
      <w:color w:val="434343"/>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46D"/>
    <w:rPr>
      <w:rFonts w:ascii="Tahoma" w:hAnsi="Tahoma" w:cs="Tahoma"/>
      <w:sz w:val="16"/>
      <w:szCs w:val="16"/>
    </w:rPr>
  </w:style>
  <w:style w:type="table" w:styleId="TableGrid">
    <w:name w:val="Table Grid"/>
    <w:basedOn w:val="TableNormal"/>
    <w:uiPriority w:val="59"/>
    <w:rsid w:val="0028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132B"/>
    <w:rPr>
      <w:color w:val="0000FF" w:themeColor="hyperlink"/>
      <w:u w:val="single"/>
    </w:rPr>
  </w:style>
  <w:style w:type="paragraph" w:styleId="ListParagraph">
    <w:name w:val="List Paragraph"/>
    <w:basedOn w:val="Normal"/>
    <w:uiPriority w:val="34"/>
    <w:qFormat/>
    <w:rsid w:val="00B06720"/>
    <w:pPr>
      <w:ind w:left="720"/>
      <w:contextualSpacing/>
    </w:pPr>
  </w:style>
  <w:style w:type="paragraph" w:styleId="Header">
    <w:name w:val="header"/>
    <w:basedOn w:val="Normal"/>
    <w:link w:val="HeaderChar"/>
    <w:uiPriority w:val="99"/>
    <w:unhideWhenUsed/>
    <w:rsid w:val="004373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73B9"/>
  </w:style>
  <w:style w:type="paragraph" w:styleId="Footer">
    <w:name w:val="footer"/>
    <w:basedOn w:val="Normal"/>
    <w:link w:val="FooterChar"/>
    <w:uiPriority w:val="99"/>
    <w:unhideWhenUsed/>
    <w:rsid w:val="004373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73B9"/>
  </w:style>
  <w:style w:type="character" w:styleId="UnresolvedMention">
    <w:name w:val="Unresolved Mention"/>
    <w:basedOn w:val="DefaultParagraphFont"/>
    <w:uiPriority w:val="99"/>
    <w:semiHidden/>
    <w:unhideWhenUsed/>
    <w:rsid w:val="00EA3CC5"/>
    <w:rPr>
      <w:color w:val="605E5C"/>
      <w:shd w:val="clear" w:color="auto" w:fill="E1DFDD"/>
    </w:rPr>
  </w:style>
  <w:style w:type="character" w:styleId="FollowedHyperlink">
    <w:name w:val="FollowedHyperlink"/>
    <w:basedOn w:val="DefaultParagraphFont"/>
    <w:uiPriority w:val="99"/>
    <w:semiHidden/>
    <w:unhideWhenUsed/>
    <w:rsid w:val="00341081"/>
    <w:rPr>
      <w:color w:val="800080" w:themeColor="followedHyperlink"/>
      <w:u w:val="single"/>
    </w:rPr>
  </w:style>
  <w:style w:type="paragraph" w:customStyle="1" w:styleId="xmsolistparagraph">
    <w:name w:val="x_msolistparagraph"/>
    <w:basedOn w:val="Normal"/>
    <w:rsid w:val="00E66F61"/>
    <w:pPr>
      <w:spacing w:after="0" w:line="240" w:lineRule="auto"/>
      <w:ind w:left="720"/>
    </w:pPr>
    <w:rPr>
      <w:rFonts w:ascii="Verdana" w:hAnsi="Verdana" w:cs="Calibri"/>
      <w:color w:val="003572"/>
      <w:sz w:val="24"/>
      <w:szCs w:val="24"/>
      <w:lang w:eastAsia="en-GB"/>
    </w:rPr>
  </w:style>
  <w:style w:type="character" w:styleId="CommentReference">
    <w:name w:val="annotation reference"/>
    <w:basedOn w:val="DefaultParagraphFont"/>
    <w:uiPriority w:val="99"/>
    <w:semiHidden/>
    <w:unhideWhenUsed/>
    <w:rsid w:val="00E02CE7"/>
    <w:rPr>
      <w:sz w:val="16"/>
      <w:szCs w:val="16"/>
    </w:rPr>
  </w:style>
  <w:style w:type="paragraph" w:styleId="CommentText">
    <w:name w:val="annotation text"/>
    <w:basedOn w:val="Normal"/>
    <w:link w:val="CommentTextChar"/>
    <w:uiPriority w:val="99"/>
    <w:unhideWhenUsed/>
    <w:rsid w:val="00E02CE7"/>
    <w:pPr>
      <w:spacing w:line="240" w:lineRule="auto"/>
    </w:pPr>
    <w:rPr>
      <w:sz w:val="20"/>
      <w:szCs w:val="20"/>
    </w:rPr>
  </w:style>
  <w:style w:type="character" w:customStyle="1" w:styleId="CommentTextChar">
    <w:name w:val="Comment Text Char"/>
    <w:basedOn w:val="DefaultParagraphFont"/>
    <w:link w:val="CommentText"/>
    <w:uiPriority w:val="99"/>
    <w:rsid w:val="00E02CE7"/>
    <w:rPr>
      <w:sz w:val="20"/>
      <w:szCs w:val="20"/>
    </w:rPr>
  </w:style>
  <w:style w:type="paragraph" w:styleId="CommentSubject">
    <w:name w:val="annotation subject"/>
    <w:basedOn w:val="CommentText"/>
    <w:next w:val="CommentText"/>
    <w:link w:val="CommentSubjectChar"/>
    <w:uiPriority w:val="99"/>
    <w:semiHidden/>
    <w:unhideWhenUsed/>
    <w:rsid w:val="00E02CE7"/>
    <w:rPr>
      <w:b/>
      <w:bCs/>
    </w:rPr>
  </w:style>
  <w:style w:type="character" w:customStyle="1" w:styleId="CommentSubjectChar">
    <w:name w:val="Comment Subject Char"/>
    <w:basedOn w:val="CommentTextChar"/>
    <w:link w:val="CommentSubject"/>
    <w:uiPriority w:val="99"/>
    <w:semiHidden/>
    <w:rsid w:val="00E02CE7"/>
    <w:rPr>
      <w:b/>
      <w:bCs/>
      <w:sz w:val="20"/>
      <w:szCs w:val="20"/>
    </w:rPr>
  </w:style>
  <w:style w:type="paragraph" w:styleId="Revision">
    <w:name w:val="Revision"/>
    <w:hidden/>
    <w:uiPriority w:val="99"/>
    <w:semiHidden/>
    <w:rsid w:val="00E02CE7"/>
    <w:pPr>
      <w:spacing w:after="0" w:line="240" w:lineRule="auto"/>
    </w:pPr>
  </w:style>
  <w:style w:type="character" w:customStyle="1" w:styleId="Heading2Char">
    <w:name w:val="Heading 2 Char"/>
    <w:basedOn w:val="DefaultParagraphFont"/>
    <w:link w:val="Heading2"/>
    <w:uiPriority w:val="9"/>
    <w:rsid w:val="00BD539D"/>
    <w:rPr>
      <w:rFonts w:ascii="Arial" w:eastAsia="Arial" w:hAnsi="Arial" w:cs="Arial"/>
      <w:sz w:val="32"/>
      <w:szCs w:val="32"/>
      <w:lang w:eastAsia="en-GB"/>
    </w:rPr>
  </w:style>
  <w:style w:type="character" w:customStyle="1" w:styleId="Heading3Char">
    <w:name w:val="Heading 3 Char"/>
    <w:basedOn w:val="DefaultParagraphFont"/>
    <w:link w:val="Heading3"/>
    <w:uiPriority w:val="9"/>
    <w:rsid w:val="00BD539D"/>
    <w:rPr>
      <w:rFonts w:ascii="Arial" w:eastAsia="Arial" w:hAnsi="Arial" w:cs="Arial"/>
      <w:color w:val="434343"/>
      <w:sz w:val="28"/>
      <w:szCs w:val="28"/>
      <w:lang w:eastAsia="en-GB"/>
    </w:rPr>
  </w:style>
  <w:style w:type="character" w:customStyle="1" w:styleId="Heading1Char">
    <w:name w:val="Heading 1 Char"/>
    <w:basedOn w:val="DefaultParagraphFont"/>
    <w:link w:val="Heading1"/>
    <w:uiPriority w:val="9"/>
    <w:rsid w:val="0021447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290D24"/>
    <w:pPr>
      <w:widowControl w:val="0"/>
      <w:autoSpaceDE w:val="0"/>
      <w:autoSpaceDN w:val="0"/>
      <w:spacing w:after="0" w:line="240" w:lineRule="auto"/>
    </w:pPr>
    <w:rPr>
      <w:rFonts w:ascii="Trebuchet MS" w:eastAsia="Trebuchet MS" w:hAnsi="Trebuchet MS" w:cs="Trebuchet MS"/>
      <w:i/>
      <w:iCs/>
      <w:sz w:val="24"/>
      <w:szCs w:val="24"/>
      <w:lang w:val="en-US"/>
    </w:rPr>
  </w:style>
  <w:style w:type="character" w:customStyle="1" w:styleId="BodyTextChar">
    <w:name w:val="Body Text Char"/>
    <w:basedOn w:val="DefaultParagraphFont"/>
    <w:link w:val="BodyText"/>
    <w:uiPriority w:val="1"/>
    <w:rsid w:val="00290D24"/>
    <w:rPr>
      <w:rFonts w:ascii="Trebuchet MS" w:eastAsia="Trebuchet MS" w:hAnsi="Trebuchet MS" w:cs="Trebuchet MS"/>
      <w:i/>
      <w:iCs/>
      <w:sz w:val="24"/>
      <w:szCs w:val="24"/>
      <w:lang w:val="en-US"/>
    </w:rPr>
  </w:style>
  <w:style w:type="paragraph" w:styleId="NormalWeb">
    <w:name w:val="Normal (Web)"/>
    <w:basedOn w:val="Normal"/>
    <w:uiPriority w:val="99"/>
    <w:semiHidden/>
    <w:unhideWhenUsed/>
    <w:rsid w:val="00C01C64"/>
    <w:pPr>
      <w:spacing w:before="100" w:beforeAutospacing="1" w:after="100" w:afterAutospacing="1" w:line="240" w:lineRule="auto"/>
    </w:pPr>
    <w:rPr>
      <w:rFonts w:ascii="Times New Roman" w:eastAsia="Times New Roman" w:hAnsi="Times New Roman" w:cs="Times New Roman"/>
      <w:sz w:val="24"/>
      <w:szCs w:val="24"/>
      <w:lang w:val="en-S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85798">
      <w:bodyDiv w:val="1"/>
      <w:marLeft w:val="0"/>
      <w:marRight w:val="0"/>
      <w:marTop w:val="0"/>
      <w:marBottom w:val="0"/>
      <w:divBdr>
        <w:top w:val="none" w:sz="0" w:space="0" w:color="auto"/>
        <w:left w:val="none" w:sz="0" w:space="0" w:color="auto"/>
        <w:bottom w:val="none" w:sz="0" w:space="0" w:color="auto"/>
        <w:right w:val="none" w:sz="0" w:space="0" w:color="auto"/>
      </w:divBdr>
    </w:div>
    <w:div w:id="791290243">
      <w:bodyDiv w:val="1"/>
      <w:marLeft w:val="0"/>
      <w:marRight w:val="0"/>
      <w:marTop w:val="0"/>
      <w:marBottom w:val="0"/>
      <w:divBdr>
        <w:top w:val="none" w:sz="0" w:space="0" w:color="auto"/>
        <w:left w:val="none" w:sz="0" w:space="0" w:color="auto"/>
        <w:bottom w:val="none" w:sz="0" w:space="0" w:color="auto"/>
        <w:right w:val="none" w:sz="0" w:space="0" w:color="auto"/>
      </w:divBdr>
      <w:divsChild>
        <w:div w:id="1579438657">
          <w:marLeft w:val="0"/>
          <w:marRight w:val="0"/>
          <w:marTop w:val="0"/>
          <w:marBottom w:val="0"/>
          <w:divBdr>
            <w:top w:val="none" w:sz="0" w:space="0" w:color="auto"/>
            <w:left w:val="none" w:sz="0" w:space="0" w:color="auto"/>
            <w:bottom w:val="none" w:sz="0" w:space="0" w:color="auto"/>
            <w:right w:val="none" w:sz="0" w:space="0" w:color="auto"/>
          </w:divBdr>
        </w:div>
        <w:div w:id="927888036">
          <w:marLeft w:val="0"/>
          <w:marRight w:val="0"/>
          <w:marTop w:val="0"/>
          <w:marBottom w:val="0"/>
          <w:divBdr>
            <w:top w:val="none" w:sz="0" w:space="0" w:color="auto"/>
            <w:left w:val="none" w:sz="0" w:space="0" w:color="auto"/>
            <w:bottom w:val="none" w:sz="0" w:space="0" w:color="auto"/>
            <w:right w:val="none" w:sz="0" w:space="0" w:color="auto"/>
          </w:divBdr>
        </w:div>
      </w:divsChild>
    </w:div>
    <w:div w:id="849181199">
      <w:bodyDiv w:val="1"/>
      <w:marLeft w:val="0"/>
      <w:marRight w:val="0"/>
      <w:marTop w:val="0"/>
      <w:marBottom w:val="0"/>
      <w:divBdr>
        <w:top w:val="none" w:sz="0" w:space="0" w:color="auto"/>
        <w:left w:val="none" w:sz="0" w:space="0" w:color="auto"/>
        <w:bottom w:val="none" w:sz="0" w:space="0" w:color="auto"/>
        <w:right w:val="none" w:sz="0" w:space="0" w:color="auto"/>
      </w:divBdr>
    </w:div>
    <w:div w:id="1205870943">
      <w:bodyDiv w:val="1"/>
      <w:marLeft w:val="0"/>
      <w:marRight w:val="0"/>
      <w:marTop w:val="0"/>
      <w:marBottom w:val="0"/>
      <w:divBdr>
        <w:top w:val="none" w:sz="0" w:space="0" w:color="auto"/>
        <w:left w:val="none" w:sz="0" w:space="0" w:color="auto"/>
        <w:bottom w:val="none" w:sz="0" w:space="0" w:color="auto"/>
        <w:right w:val="none" w:sz="0" w:space="0" w:color="auto"/>
      </w:divBdr>
    </w:div>
    <w:div w:id="1477454280">
      <w:bodyDiv w:val="1"/>
      <w:marLeft w:val="0"/>
      <w:marRight w:val="0"/>
      <w:marTop w:val="0"/>
      <w:marBottom w:val="0"/>
      <w:divBdr>
        <w:top w:val="none" w:sz="0" w:space="0" w:color="auto"/>
        <w:left w:val="none" w:sz="0" w:space="0" w:color="auto"/>
        <w:bottom w:val="none" w:sz="0" w:space="0" w:color="auto"/>
        <w:right w:val="none" w:sz="0" w:space="0" w:color="auto"/>
      </w:divBdr>
    </w:div>
    <w:div w:id="1500072583">
      <w:bodyDiv w:val="1"/>
      <w:marLeft w:val="0"/>
      <w:marRight w:val="0"/>
      <w:marTop w:val="0"/>
      <w:marBottom w:val="0"/>
      <w:divBdr>
        <w:top w:val="none" w:sz="0" w:space="0" w:color="auto"/>
        <w:left w:val="none" w:sz="0" w:space="0" w:color="auto"/>
        <w:bottom w:val="none" w:sz="0" w:space="0" w:color="auto"/>
        <w:right w:val="none" w:sz="0" w:space="0" w:color="auto"/>
      </w:divBdr>
    </w:div>
    <w:div w:id="194526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requestpro.com/up/bioqc-article-contributo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o-qc.com/abou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o-qc.com/sponsorsh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o-qc.com/ich-q14-guideline-overview-for-analytical-procedure-lifecycle-management/" TargetMode="External"/><Relationship Id="rId4" Type="http://schemas.openxmlformats.org/officeDocument/2006/relationships/settings" Target="settings.xml"/><Relationship Id="rId9" Type="http://schemas.openxmlformats.org/officeDocument/2006/relationships/hyperlink" Target="https://bio-qc.com/contact-us/feedbac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EF50D-0716-483B-9F52-762BB17D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1104</Words>
  <Characters>6880</Characters>
  <Application>Microsoft Office Word</Application>
  <DocSecurity>0</DocSecurity>
  <Lines>181</Lines>
  <Paragraphs>106</Paragraphs>
  <ScaleCrop>false</ScaleCrop>
  <HeadingPairs>
    <vt:vector size="2" baseType="variant">
      <vt:variant>
        <vt:lpstr>Title</vt:lpstr>
      </vt:variant>
      <vt:variant>
        <vt:i4>1</vt:i4>
      </vt:variant>
    </vt:vector>
  </HeadingPairs>
  <TitlesOfParts>
    <vt:vector size="1" baseType="lpstr">
      <vt:lpstr/>
    </vt:vector>
  </TitlesOfParts>
  <Manager/>
  <Company>BioQC</Company>
  <LinksUpToDate>false</LinksUpToDate>
  <CharactersWithSpaces>7878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Jeroen Reiniers</cp:lastModifiedBy>
  <cp:revision>38</cp:revision>
  <dcterms:created xsi:type="dcterms:W3CDTF">2025-11-07T05:56:00Z</dcterms:created>
  <dcterms:modified xsi:type="dcterms:W3CDTF">2025-11-20T04:20:00Z</dcterms:modified>
  <cp:category/>
</cp:coreProperties>
</file>